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0669A" w14:textId="068BBDD4" w:rsidR="00ED74B8" w:rsidRPr="00305059" w:rsidRDefault="006E1715" w:rsidP="00305059">
      <w:pPr>
        <w:spacing w:after="240"/>
        <w:jc w:val="center"/>
        <w:rPr>
          <w:b/>
          <w:bCs/>
          <w:color w:val="000000" w:themeColor="text1"/>
        </w:rPr>
      </w:pPr>
      <w:r w:rsidRPr="00305059">
        <w:rPr>
          <w:b/>
          <w:bCs/>
          <w:color w:val="000000" w:themeColor="text1"/>
        </w:rPr>
        <w:t>BAŞKENT ÜNİVERSİTESİ</w:t>
      </w:r>
      <w:r w:rsidR="005D62E9" w:rsidRPr="00305059">
        <w:rPr>
          <w:b/>
          <w:bCs/>
          <w:color w:val="000000" w:themeColor="text1"/>
        </w:rPr>
        <w:t xml:space="preserve"> </w:t>
      </w:r>
      <w:r w:rsidR="00305059" w:rsidRPr="00305059">
        <w:rPr>
          <w:b/>
          <w:bCs/>
          <w:color w:val="000000" w:themeColor="text1"/>
        </w:rPr>
        <w:t xml:space="preserve">AKADEMİK PERSONEL </w:t>
      </w:r>
      <w:r w:rsidR="00ED74B8" w:rsidRPr="00305059">
        <w:rPr>
          <w:b/>
          <w:bCs/>
          <w:color w:val="000000" w:themeColor="text1"/>
        </w:rPr>
        <w:t xml:space="preserve">ÜCRETLENDİRME </w:t>
      </w:r>
      <w:r w:rsidR="00982D89" w:rsidRPr="00305059">
        <w:rPr>
          <w:b/>
          <w:bCs/>
          <w:color w:val="000000" w:themeColor="text1"/>
        </w:rPr>
        <w:t>YÖNERGESİ</w:t>
      </w:r>
    </w:p>
    <w:p w14:paraId="202C06DF" w14:textId="77777777" w:rsidR="003A18C5" w:rsidRDefault="003A18C5" w:rsidP="00343ACB">
      <w:pPr>
        <w:spacing w:after="240"/>
        <w:jc w:val="center"/>
        <w:rPr>
          <w:b/>
          <w:bCs/>
          <w:color w:val="000000" w:themeColor="text1"/>
        </w:rPr>
      </w:pPr>
      <w:r w:rsidRPr="003A18C5">
        <w:rPr>
          <w:rFonts w:eastAsiaTheme="minorHAnsi"/>
          <w:b/>
          <w:bCs/>
          <w:color w:val="000000" w:themeColor="text1"/>
          <w:lang w:eastAsia="en-US"/>
        </w:rPr>
        <w:t xml:space="preserve">BİRİNCİ BÖLÜM </w:t>
      </w:r>
    </w:p>
    <w:p w14:paraId="12E6273A" w14:textId="4718D875" w:rsidR="003A18C5" w:rsidRPr="003A18C5" w:rsidRDefault="003A18C5" w:rsidP="00343ACB">
      <w:pPr>
        <w:spacing w:after="240"/>
        <w:jc w:val="center"/>
        <w:rPr>
          <w:b/>
          <w:bCs/>
          <w:color w:val="000000" w:themeColor="text1"/>
        </w:rPr>
      </w:pPr>
      <w:r w:rsidRPr="003A18C5">
        <w:rPr>
          <w:rFonts w:eastAsiaTheme="minorHAnsi"/>
          <w:b/>
          <w:bCs/>
          <w:color w:val="000000" w:themeColor="text1"/>
          <w:lang w:eastAsia="en-US"/>
        </w:rPr>
        <w:t xml:space="preserve">Amaç, </w:t>
      </w:r>
      <w:r w:rsidR="00132B62">
        <w:rPr>
          <w:rFonts w:eastAsiaTheme="minorHAnsi"/>
          <w:b/>
          <w:bCs/>
          <w:color w:val="000000" w:themeColor="text1"/>
          <w:lang w:eastAsia="en-US"/>
        </w:rPr>
        <w:t xml:space="preserve">Kapsam, </w:t>
      </w:r>
      <w:r w:rsidRPr="003A18C5">
        <w:rPr>
          <w:rFonts w:eastAsiaTheme="minorHAnsi"/>
          <w:b/>
          <w:bCs/>
          <w:color w:val="000000" w:themeColor="text1"/>
          <w:lang w:eastAsia="en-US"/>
        </w:rPr>
        <w:t xml:space="preserve">Dayanak, Tanımlar, Akademik Unvanlar </w:t>
      </w:r>
    </w:p>
    <w:p w14:paraId="56757651" w14:textId="674C8604" w:rsidR="00FA56F5" w:rsidRPr="00854367" w:rsidRDefault="00FA56F5" w:rsidP="00343ACB">
      <w:pPr>
        <w:spacing w:after="240"/>
        <w:jc w:val="both"/>
        <w:rPr>
          <w:b/>
          <w:bCs/>
          <w:color w:val="000000" w:themeColor="text1"/>
        </w:rPr>
      </w:pPr>
      <w:r w:rsidRPr="00854367">
        <w:rPr>
          <w:b/>
          <w:bCs/>
          <w:color w:val="000000" w:themeColor="text1"/>
        </w:rPr>
        <w:t>Amaç</w:t>
      </w:r>
    </w:p>
    <w:p w14:paraId="4083656E" w14:textId="122F96F7" w:rsidR="00882724" w:rsidRDefault="00FA56F5" w:rsidP="00343ACB">
      <w:pPr>
        <w:spacing w:after="240"/>
        <w:jc w:val="both"/>
        <w:rPr>
          <w:color w:val="000000" w:themeColor="text1"/>
        </w:rPr>
      </w:pPr>
      <w:r w:rsidRPr="00854367">
        <w:rPr>
          <w:b/>
          <w:bCs/>
          <w:color w:val="000000" w:themeColor="text1"/>
        </w:rPr>
        <w:t>Madde 1</w:t>
      </w:r>
      <w:r w:rsidR="00882724" w:rsidRPr="00854367">
        <w:rPr>
          <w:b/>
          <w:bCs/>
          <w:color w:val="000000" w:themeColor="text1"/>
        </w:rPr>
        <w:t>-</w:t>
      </w:r>
      <w:r w:rsidR="00882724" w:rsidRPr="00854367">
        <w:rPr>
          <w:color w:val="000000" w:themeColor="text1"/>
        </w:rPr>
        <w:t xml:space="preserve"> </w:t>
      </w:r>
      <w:r w:rsidRPr="00854367">
        <w:rPr>
          <w:color w:val="000000" w:themeColor="text1"/>
        </w:rPr>
        <w:t xml:space="preserve">Bu </w:t>
      </w:r>
      <w:r w:rsidR="00C2295B">
        <w:rPr>
          <w:color w:val="000000" w:themeColor="text1"/>
        </w:rPr>
        <w:t>Y</w:t>
      </w:r>
      <w:r w:rsidRPr="00854367">
        <w:rPr>
          <w:color w:val="000000" w:themeColor="text1"/>
        </w:rPr>
        <w:t>önergenin amacı</w:t>
      </w:r>
      <w:r w:rsidR="00132B62" w:rsidRPr="00056989">
        <w:rPr>
          <w:color w:val="000000" w:themeColor="text1"/>
        </w:rPr>
        <w:t>,</w:t>
      </w:r>
      <w:r w:rsidR="009D033B" w:rsidRPr="00056989">
        <w:rPr>
          <w:color w:val="000000" w:themeColor="text1"/>
        </w:rPr>
        <w:t xml:space="preserve"> Başkent Üniversitesi akademik personelinin ücretlendirilme </w:t>
      </w:r>
      <w:r w:rsidR="006E1715" w:rsidRPr="00056989">
        <w:rPr>
          <w:color w:val="000000" w:themeColor="text1"/>
        </w:rPr>
        <w:t>usul ve esasların</w:t>
      </w:r>
      <w:r w:rsidR="009D033B" w:rsidRPr="00056989">
        <w:rPr>
          <w:color w:val="000000" w:themeColor="text1"/>
        </w:rPr>
        <w:t>ın</w:t>
      </w:r>
      <w:r w:rsidR="006E1715" w:rsidRPr="00056989">
        <w:rPr>
          <w:color w:val="000000" w:themeColor="text1"/>
        </w:rPr>
        <w:t xml:space="preserve"> belirlenmesidir.</w:t>
      </w:r>
    </w:p>
    <w:p w14:paraId="3B480994" w14:textId="750BB3A6" w:rsidR="00963E51" w:rsidRDefault="00963E51" w:rsidP="00343ACB">
      <w:pPr>
        <w:spacing w:after="240"/>
        <w:jc w:val="both"/>
        <w:rPr>
          <w:b/>
          <w:bCs/>
          <w:color w:val="000000" w:themeColor="text1"/>
        </w:rPr>
      </w:pPr>
      <w:r w:rsidRPr="00963E51">
        <w:rPr>
          <w:b/>
          <w:bCs/>
          <w:color w:val="000000" w:themeColor="text1"/>
        </w:rPr>
        <w:t xml:space="preserve">Kapsam </w:t>
      </w:r>
    </w:p>
    <w:p w14:paraId="449A94FB" w14:textId="68D0A2F8" w:rsidR="003541B6" w:rsidRPr="004313A7" w:rsidRDefault="00963E51" w:rsidP="004313A7">
      <w:pPr>
        <w:spacing w:after="24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Madde </w:t>
      </w:r>
      <w:r w:rsidR="00E04FBB">
        <w:rPr>
          <w:b/>
          <w:bCs/>
          <w:color w:val="000000" w:themeColor="text1"/>
        </w:rPr>
        <w:t>2</w:t>
      </w:r>
      <w:r w:rsidR="003541B6">
        <w:rPr>
          <w:b/>
          <w:bCs/>
          <w:color w:val="000000" w:themeColor="text1"/>
        </w:rPr>
        <w:t xml:space="preserve">- </w:t>
      </w:r>
      <w:r w:rsidR="003A18C5">
        <w:rPr>
          <w:b/>
          <w:bCs/>
          <w:color w:val="000000" w:themeColor="text1"/>
        </w:rPr>
        <w:t xml:space="preserve"> </w:t>
      </w:r>
      <w:r w:rsidR="004313A7" w:rsidRPr="004313A7">
        <w:rPr>
          <w:bCs/>
          <w:color w:val="000000" w:themeColor="text1"/>
        </w:rPr>
        <w:t>Bu Yönerge, Başkent Üniversitesinde tam zamanlı, esnek zamanlı ve ders saati ücretli olarak; Enstitü, Fakülte, Konservatuvar, Yüksekokul, Meslek Yüksekokulu, Uygulama ve Araştırma Merkezleri ve ilgili birimlerde çalışan tüm öğretim elemanlarını kapsar.</w:t>
      </w:r>
    </w:p>
    <w:p w14:paraId="5CF7CC88" w14:textId="3C5431B8" w:rsidR="00963E51" w:rsidRDefault="003541B6" w:rsidP="00343ACB">
      <w:pPr>
        <w:spacing w:after="2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Dayanak</w:t>
      </w:r>
    </w:p>
    <w:p w14:paraId="0504289A" w14:textId="005BDA02" w:rsidR="003541B6" w:rsidRPr="003541B6" w:rsidRDefault="003541B6" w:rsidP="006F7100">
      <w:pPr>
        <w:spacing w:after="240"/>
        <w:jc w:val="both"/>
      </w:pPr>
      <w:r w:rsidRPr="00132B62">
        <w:rPr>
          <w:b/>
          <w:bCs/>
          <w:color w:val="000000" w:themeColor="text1"/>
        </w:rPr>
        <w:t xml:space="preserve">Madde </w:t>
      </w:r>
      <w:r w:rsidR="00E04FBB" w:rsidRPr="00132B62">
        <w:rPr>
          <w:b/>
          <w:bCs/>
          <w:color w:val="000000" w:themeColor="text1"/>
        </w:rPr>
        <w:t>3</w:t>
      </w:r>
      <w:r w:rsidRPr="00132B62">
        <w:rPr>
          <w:b/>
          <w:bCs/>
          <w:color w:val="000000" w:themeColor="text1"/>
        </w:rPr>
        <w:t xml:space="preserve">- </w:t>
      </w:r>
      <w:r w:rsidR="00B26BC7" w:rsidRPr="00B26BC7">
        <w:t xml:space="preserve">Bu Yönerge, 2547 sayılı Yükseköğretim Kanunu, 2914 sayılı Yükseköğretim Personel Kanunu, 4857 sayılı İş Kanunu, 24/10/2019 tarihli Cumhurbaşkanlığı İnsan Kaynakları Ofisi Kararnamesi, 31/12/2005 tarihli ve 26040 Sayılı Resmi </w:t>
      </w:r>
      <w:proofErr w:type="spellStart"/>
      <w:r w:rsidR="00B26BC7" w:rsidRPr="00B26BC7">
        <w:t>Gazete’de</w:t>
      </w:r>
      <w:proofErr w:type="spellEnd"/>
      <w:r w:rsidR="00B26BC7" w:rsidRPr="00B26BC7">
        <w:t xml:space="preserve"> yayımlanan Vakıf Yükseköğretim Kurumları Yönetmeliği hükümlerine uygun olarak düzenlenen ve 13.09.2010 tarih ve 27698 sayılı Resmi </w:t>
      </w:r>
      <w:proofErr w:type="spellStart"/>
      <w:r w:rsidR="00B26BC7" w:rsidRPr="00B26BC7">
        <w:t>Gazete’de</w:t>
      </w:r>
      <w:proofErr w:type="spellEnd"/>
      <w:r w:rsidR="00B26BC7" w:rsidRPr="00B26BC7">
        <w:t xml:space="preserve"> yayımlanan Başkent Üniversitesi Ana Yönetmeliğine dayanılarak hazırlanmıştır.</w:t>
      </w:r>
    </w:p>
    <w:p w14:paraId="19B078CD" w14:textId="1566F353" w:rsidR="006E1715" w:rsidRDefault="006E1715" w:rsidP="00343ACB">
      <w:pPr>
        <w:spacing w:after="240"/>
        <w:jc w:val="both"/>
        <w:rPr>
          <w:b/>
          <w:bCs/>
          <w:color w:val="000000" w:themeColor="text1"/>
        </w:rPr>
      </w:pPr>
      <w:r w:rsidRPr="006E1715">
        <w:rPr>
          <w:b/>
          <w:bCs/>
          <w:color w:val="000000" w:themeColor="text1"/>
        </w:rPr>
        <w:t xml:space="preserve">Tanımlar </w:t>
      </w:r>
    </w:p>
    <w:p w14:paraId="2480C7AF" w14:textId="2C1A05CC" w:rsidR="00963E51" w:rsidRDefault="00963E51" w:rsidP="00343ACB">
      <w:pPr>
        <w:spacing w:after="240"/>
        <w:jc w:val="both"/>
      </w:pPr>
      <w:r w:rsidRPr="003541B6">
        <w:rPr>
          <w:b/>
          <w:bCs/>
        </w:rPr>
        <w:t xml:space="preserve">Madde </w:t>
      </w:r>
      <w:r w:rsidR="00636533">
        <w:rPr>
          <w:b/>
          <w:bCs/>
        </w:rPr>
        <w:t>4</w:t>
      </w:r>
      <w:r w:rsidR="00636533">
        <w:t>-</w:t>
      </w:r>
      <w:r w:rsidR="003541B6">
        <w:t xml:space="preserve"> </w:t>
      </w:r>
      <w:r w:rsidRPr="00963E51">
        <w:t xml:space="preserve">Bu </w:t>
      </w:r>
      <w:r w:rsidR="00A57CA0">
        <w:t>Y</w:t>
      </w:r>
      <w:r w:rsidRPr="00963E51">
        <w:t>önergede geçen</w:t>
      </w:r>
      <w:r w:rsidR="008B17BE">
        <w:t>;</w:t>
      </w:r>
    </w:p>
    <w:tbl>
      <w:tblPr>
        <w:tblStyle w:val="TabloKlavuz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313A7" w:rsidRPr="004313A7" w14:paraId="14806A1F" w14:textId="77777777" w:rsidTr="003E5E99">
        <w:trPr>
          <w:trHeight w:val="321"/>
        </w:trPr>
        <w:tc>
          <w:tcPr>
            <w:tcW w:w="3828" w:type="dxa"/>
          </w:tcPr>
          <w:p w14:paraId="58D31350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Üniversite</w:t>
            </w: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ab/>
            </w: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ab/>
            </w: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ab/>
            </w:r>
          </w:p>
        </w:tc>
        <w:tc>
          <w:tcPr>
            <w:tcW w:w="5670" w:type="dxa"/>
          </w:tcPr>
          <w:p w14:paraId="3498B882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color w:val="000000" w:themeColor="text1"/>
                <w:lang w:eastAsia="en-US"/>
              </w:rPr>
              <w:t>Başkent Üniversitesini,</w:t>
            </w:r>
          </w:p>
          <w:p w14:paraId="61EB21E6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313A7" w:rsidRPr="004313A7" w14:paraId="083638B0" w14:textId="77777777" w:rsidTr="003E5E99">
        <w:tc>
          <w:tcPr>
            <w:tcW w:w="3828" w:type="dxa"/>
          </w:tcPr>
          <w:p w14:paraId="1D73DA84" w14:textId="77777777" w:rsidR="004313A7" w:rsidRPr="004313A7" w:rsidRDefault="004313A7" w:rsidP="004313A7">
            <w:pPr>
              <w:spacing w:line="23" w:lineRule="atLeast"/>
              <w:rPr>
                <w:rFonts w:eastAsiaTheme="minorHAnsi"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Rektör</w:t>
            </w: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ab/>
            </w: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ab/>
            </w: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ab/>
            </w:r>
          </w:p>
          <w:p w14:paraId="0092B6B9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5670" w:type="dxa"/>
          </w:tcPr>
          <w:p w14:paraId="17789699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color w:val="000000" w:themeColor="text1"/>
                <w:lang w:eastAsia="en-US"/>
              </w:rPr>
              <w:t>Başkent Üniversitesi Rektörünü,</w:t>
            </w:r>
          </w:p>
        </w:tc>
      </w:tr>
      <w:tr w:rsidR="004313A7" w:rsidRPr="004313A7" w14:paraId="1C083275" w14:textId="77777777" w:rsidTr="003E5E99">
        <w:trPr>
          <w:trHeight w:val="426"/>
        </w:trPr>
        <w:tc>
          <w:tcPr>
            <w:tcW w:w="3828" w:type="dxa"/>
          </w:tcPr>
          <w:p w14:paraId="23297365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Rektör Yardımcısı</w:t>
            </w:r>
          </w:p>
        </w:tc>
        <w:tc>
          <w:tcPr>
            <w:tcW w:w="5670" w:type="dxa"/>
          </w:tcPr>
          <w:p w14:paraId="083CB569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color w:val="000000" w:themeColor="text1"/>
                <w:lang w:eastAsia="en-US"/>
              </w:rPr>
              <w:t>Başkent Üniversitesi Rektör Yardımcılarını,</w:t>
            </w:r>
          </w:p>
        </w:tc>
      </w:tr>
      <w:tr w:rsidR="004313A7" w:rsidRPr="004313A7" w14:paraId="602D13AC" w14:textId="77777777" w:rsidTr="003E5E99">
        <w:trPr>
          <w:trHeight w:val="432"/>
        </w:trPr>
        <w:tc>
          <w:tcPr>
            <w:tcW w:w="3828" w:type="dxa"/>
          </w:tcPr>
          <w:p w14:paraId="01848245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Dekan</w:t>
            </w: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ab/>
            </w:r>
          </w:p>
        </w:tc>
        <w:tc>
          <w:tcPr>
            <w:tcW w:w="5670" w:type="dxa"/>
          </w:tcPr>
          <w:p w14:paraId="53863F09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color w:val="000000" w:themeColor="text1"/>
                <w:lang w:eastAsia="en-US"/>
              </w:rPr>
              <w:t>Başkent Üniversitesi Fakülte Dekanlarını,</w:t>
            </w:r>
          </w:p>
        </w:tc>
      </w:tr>
      <w:tr w:rsidR="004313A7" w:rsidRPr="004313A7" w14:paraId="1D5F5F31" w14:textId="77777777" w:rsidTr="003E5E99">
        <w:tc>
          <w:tcPr>
            <w:tcW w:w="3828" w:type="dxa"/>
          </w:tcPr>
          <w:p w14:paraId="3C58A18D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Müdür</w:t>
            </w:r>
          </w:p>
        </w:tc>
        <w:tc>
          <w:tcPr>
            <w:tcW w:w="5670" w:type="dxa"/>
          </w:tcPr>
          <w:p w14:paraId="2F3A5F90" w14:textId="77777777" w:rsidR="004313A7" w:rsidRPr="004313A7" w:rsidRDefault="004313A7" w:rsidP="004313A7">
            <w:pPr>
              <w:spacing w:line="23" w:lineRule="atLeast"/>
              <w:jc w:val="both"/>
              <w:rPr>
                <w:color w:val="000000" w:themeColor="text1"/>
              </w:rPr>
            </w:pPr>
            <w:r w:rsidRPr="004313A7">
              <w:rPr>
                <w:rFonts w:eastAsiaTheme="minorHAnsi"/>
                <w:color w:val="000000" w:themeColor="text1"/>
                <w:lang w:eastAsia="en-US"/>
              </w:rPr>
              <w:t>Başkent Üniversitesi Enstitü, Konservatuvar, Yüksekokul, Meslek Yüksekokulu Müdürlerini,</w:t>
            </w:r>
            <w:r w:rsidRPr="004313A7">
              <w:rPr>
                <w:color w:val="000000" w:themeColor="text1"/>
              </w:rPr>
              <w:t xml:space="preserve"> </w:t>
            </w:r>
          </w:p>
          <w:p w14:paraId="6D70D9C5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313A7" w:rsidRPr="004313A7" w14:paraId="13763958" w14:textId="77777777" w:rsidTr="003E5E99">
        <w:tc>
          <w:tcPr>
            <w:tcW w:w="3828" w:type="dxa"/>
          </w:tcPr>
          <w:p w14:paraId="6ED3A1C1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4313A7">
              <w:rPr>
                <w:b/>
                <w:color w:val="000000" w:themeColor="text1"/>
              </w:rPr>
              <w:t>Merkez Müdürü</w:t>
            </w:r>
          </w:p>
        </w:tc>
        <w:tc>
          <w:tcPr>
            <w:tcW w:w="5670" w:type="dxa"/>
          </w:tcPr>
          <w:p w14:paraId="47F169D7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313A7">
              <w:rPr>
                <w:color w:val="000000" w:themeColor="text1"/>
              </w:rPr>
              <w:t>Başkent Üniversitesi Uygulama ve Araştırma Merkezlerinin Müdürlerini,</w:t>
            </w:r>
          </w:p>
        </w:tc>
      </w:tr>
      <w:tr w:rsidR="004313A7" w:rsidRPr="004313A7" w14:paraId="096AE80E" w14:textId="77777777" w:rsidTr="003E5E99">
        <w:tc>
          <w:tcPr>
            <w:tcW w:w="3828" w:type="dxa"/>
          </w:tcPr>
          <w:p w14:paraId="3982AF73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14:paraId="65919762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Bölüm Başkanı</w:t>
            </w: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ab/>
            </w:r>
          </w:p>
        </w:tc>
        <w:tc>
          <w:tcPr>
            <w:tcW w:w="5670" w:type="dxa"/>
          </w:tcPr>
          <w:p w14:paraId="1D6964D1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14:paraId="6F4D7413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color w:val="000000" w:themeColor="text1"/>
                <w:lang w:eastAsia="en-US"/>
              </w:rPr>
              <w:t>Fakülte veya Yüksekokul bölümlerinin başkanlarını,</w:t>
            </w:r>
          </w:p>
        </w:tc>
      </w:tr>
      <w:tr w:rsidR="004313A7" w:rsidRPr="004313A7" w14:paraId="1FA45908" w14:textId="77777777" w:rsidTr="003E5E99">
        <w:tc>
          <w:tcPr>
            <w:tcW w:w="3828" w:type="dxa"/>
          </w:tcPr>
          <w:p w14:paraId="65550AF8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14:paraId="0A92BA8B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Ana Bilim Dalı/ Program Başkanı</w:t>
            </w:r>
          </w:p>
        </w:tc>
        <w:tc>
          <w:tcPr>
            <w:tcW w:w="5670" w:type="dxa"/>
          </w:tcPr>
          <w:p w14:paraId="3A0B0FEF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14:paraId="556F0875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color w:val="000000" w:themeColor="text1"/>
                <w:lang w:eastAsia="en-US"/>
              </w:rPr>
              <w:t xml:space="preserve">Enstitü/Bölümlerin ana bilim dalı ve program başkanlarını,   </w:t>
            </w:r>
          </w:p>
        </w:tc>
      </w:tr>
      <w:tr w:rsidR="004313A7" w:rsidRPr="004313A7" w14:paraId="3E2D3951" w14:textId="77777777" w:rsidTr="003E5E99">
        <w:tc>
          <w:tcPr>
            <w:tcW w:w="3828" w:type="dxa"/>
          </w:tcPr>
          <w:p w14:paraId="7EF84A4A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  <w:p w14:paraId="1646F68A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Akademik Personel</w:t>
            </w:r>
          </w:p>
        </w:tc>
        <w:tc>
          <w:tcPr>
            <w:tcW w:w="5670" w:type="dxa"/>
          </w:tcPr>
          <w:p w14:paraId="3B6CD723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14:paraId="59862CBC" w14:textId="5169E1BB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313A7">
              <w:rPr>
                <w:rFonts w:eastAsiaTheme="minorHAnsi"/>
                <w:color w:val="000000" w:themeColor="text1"/>
                <w:lang w:eastAsia="en-US"/>
              </w:rPr>
              <w:t xml:space="preserve">Başkent Üniversitesinde tam zamanlı, esnek zamanlı ve ders saati ücretli olarak; enstitü, fakülte, konservatuvar, yüksekokul, meslek yüksekokulu, uygulama ve araştırma </w:t>
            </w:r>
            <w:r w:rsidRPr="004313A7">
              <w:rPr>
                <w:rFonts w:eastAsiaTheme="minorHAnsi"/>
                <w:color w:val="000000" w:themeColor="text1"/>
                <w:lang w:eastAsia="en-US"/>
              </w:rPr>
              <w:lastRenderedPageBreak/>
              <w:t>merkezleri ve ilgili birimlerde çalışan tüm öğretim elemanlarını,</w:t>
            </w:r>
          </w:p>
          <w:p w14:paraId="0B6F0C08" w14:textId="77777777" w:rsidR="004313A7" w:rsidRPr="004313A7" w:rsidRDefault="004313A7" w:rsidP="004313A7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E5E99" w:rsidRPr="004313A7" w14:paraId="7FD9E9DA" w14:textId="77777777" w:rsidTr="003E5E99">
        <w:tc>
          <w:tcPr>
            <w:tcW w:w="3828" w:type="dxa"/>
          </w:tcPr>
          <w:p w14:paraId="4A3E6B2A" w14:textId="1856F02D" w:rsidR="003E5E99" w:rsidRPr="004313A7" w:rsidRDefault="003E5E99" w:rsidP="004313A7">
            <w:pPr>
              <w:spacing w:line="23" w:lineRule="atLeast"/>
              <w:jc w:val="both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056989">
              <w:rPr>
                <w:b/>
                <w:bCs/>
                <w:color w:val="000000"/>
              </w:rPr>
              <w:lastRenderedPageBreak/>
              <w:t>Akademik İnsan Kaynakları Planlama, İzleme ve Performans Değerlendirme Komisyonu</w:t>
            </w:r>
            <w:r w:rsidR="00693ECA">
              <w:rPr>
                <w:b/>
                <w:bCs/>
                <w:color w:val="000000"/>
              </w:rPr>
              <w:t xml:space="preserve"> </w:t>
            </w:r>
            <w:r w:rsidRPr="003E5E99">
              <w:rPr>
                <w:rFonts w:eastAsiaTheme="minorHAnsi"/>
                <w:b/>
                <w:color w:val="000000" w:themeColor="text1"/>
                <w:lang w:eastAsia="en-US"/>
              </w:rPr>
              <w:t>(AİKİD)</w:t>
            </w:r>
            <w:r w:rsidRPr="003E5E99">
              <w:rPr>
                <w:rFonts w:eastAsiaTheme="minorHAnsi"/>
                <w:color w:val="000000" w:themeColor="text1"/>
                <w:lang w:eastAsia="en-US"/>
              </w:rPr>
              <w:tab/>
            </w:r>
          </w:p>
        </w:tc>
        <w:tc>
          <w:tcPr>
            <w:tcW w:w="5670" w:type="dxa"/>
          </w:tcPr>
          <w:p w14:paraId="36219261" w14:textId="4A7F1E0A" w:rsidR="003E5E99" w:rsidRPr="003E5E99" w:rsidRDefault="003E5E99" w:rsidP="003E5E99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3E5E99">
              <w:rPr>
                <w:rFonts w:eastAsiaTheme="minorHAnsi"/>
                <w:color w:val="000000" w:themeColor="text1"/>
                <w:lang w:eastAsia="en-US"/>
              </w:rPr>
              <w:t>Üniversitenin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3E5E99">
              <w:rPr>
                <w:rFonts w:eastAsiaTheme="minorHAnsi"/>
                <w:color w:val="000000" w:themeColor="text1"/>
                <w:lang w:eastAsia="en-US"/>
              </w:rPr>
              <w:t>akademik personelinin planlanması, izlenmesi ve performanslarının değerlendirilmesi sürecinin analizinden ve raporlanmasından sorumlu birimi,</w:t>
            </w:r>
          </w:p>
          <w:p w14:paraId="57A213AE" w14:textId="2407EE18" w:rsidR="003E5E99" w:rsidRPr="004313A7" w:rsidRDefault="003E5E99" w:rsidP="003E5E99">
            <w:pPr>
              <w:spacing w:line="23" w:lineRule="atLeas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E5E99" w:rsidRPr="004313A7" w14:paraId="11922B2B" w14:textId="77777777" w:rsidTr="003E5E99">
        <w:tc>
          <w:tcPr>
            <w:tcW w:w="3828" w:type="dxa"/>
          </w:tcPr>
          <w:p w14:paraId="2639E411" w14:textId="7771E04C" w:rsidR="003E5E99" w:rsidRPr="00056989" w:rsidRDefault="003E5E99" w:rsidP="004313A7">
            <w:pPr>
              <w:spacing w:line="23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İş Değerleme Sistemi</w:t>
            </w:r>
          </w:p>
        </w:tc>
        <w:tc>
          <w:tcPr>
            <w:tcW w:w="5670" w:type="dxa"/>
          </w:tcPr>
          <w:p w14:paraId="15EF1F58" w14:textId="319116D6" w:rsidR="003E5E99" w:rsidRPr="00A910AA" w:rsidRDefault="003E5E99" w:rsidP="00A910AA">
            <w:pPr>
              <w:spacing w:after="240"/>
              <w:jc w:val="both"/>
              <w:rPr>
                <w:bCs/>
              </w:rPr>
            </w:pPr>
            <w:r w:rsidRPr="00056989">
              <w:rPr>
                <w:bCs/>
                <w:color w:val="000000"/>
              </w:rPr>
              <w:t>Bir işin diğerine göre hak ettiği göreceli değerin belirlenmesine ilişkin gerçekleştirilen sistematik çalışma</w:t>
            </w:r>
            <w:r w:rsidRPr="00056989">
              <w:rPr>
                <w:bCs/>
              </w:rPr>
              <w:t>ları,</w:t>
            </w:r>
            <w:bookmarkStart w:id="0" w:name="_GoBack"/>
            <w:bookmarkEnd w:id="0"/>
          </w:p>
        </w:tc>
      </w:tr>
      <w:tr w:rsidR="003E5E99" w:rsidRPr="004313A7" w14:paraId="385A64AE" w14:textId="77777777" w:rsidTr="003E5E99">
        <w:tc>
          <w:tcPr>
            <w:tcW w:w="3828" w:type="dxa"/>
          </w:tcPr>
          <w:p w14:paraId="25A0EF36" w14:textId="103D64A5" w:rsidR="003E5E99" w:rsidRPr="00056989" w:rsidRDefault="003E5E99" w:rsidP="004313A7">
            <w:pPr>
              <w:spacing w:line="23" w:lineRule="atLeast"/>
              <w:jc w:val="both"/>
              <w:rPr>
                <w:b/>
                <w:bCs/>
                <w:color w:val="000000"/>
              </w:rPr>
            </w:pPr>
            <w:r w:rsidRPr="00056989">
              <w:rPr>
                <w:b/>
                <w:bCs/>
              </w:rPr>
              <w:t>Puan Faktör Katsayısı (PFK):</w:t>
            </w:r>
          </w:p>
        </w:tc>
        <w:tc>
          <w:tcPr>
            <w:tcW w:w="5670" w:type="dxa"/>
          </w:tcPr>
          <w:p w14:paraId="0B798D74" w14:textId="77777777" w:rsidR="003E5E99" w:rsidRPr="00056989" w:rsidRDefault="003E5E99" w:rsidP="003E5E99">
            <w:pPr>
              <w:spacing w:after="240"/>
              <w:jc w:val="both"/>
            </w:pPr>
            <w:r w:rsidRPr="00056989">
              <w:t>Kadro görevlerine ilişkin ücretlendirme puan katsayısını</w:t>
            </w:r>
            <w:r>
              <w:t>,</w:t>
            </w:r>
            <w:r w:rsidRPr="00056989">
              <w:t xml:space="preserve"> ifade eder. </w:t>
            </w:r>
            <w:r w:rsidRPr="00056989">
              <w:rPr>
                <w:b/>
                <w:bCs/>
              </w:rPr>
              <w:t xml:space="preserve"> </w:t>
            </w:r>
          </w:p>
          <w:p w14:paraId="2A05B76C" w14:textId="77777777" w:rsidR="003E5E99" w:rsidRPr="00056989" w:rsidRDefault="003E5E99" w:rsidP="004313A7">
            <w:pPr>
              <w:spacing w:line="23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14:paraId="560844AA" w14:textId="61C9685E" w:rsidR="006C49D7" w:rsidRPr="00056989" w:rsidRDefault="006C49D7" w:rsidP="006C49D7">
      <w:pPr>
        <w:spacing w:after="240"/>
        <w:jc w:val="both"/>
        <w:rPr>
          <w:b/>
          <w:bCs/>
        </w:rPr>
      </w:pPr>
      <w:r w:rsidRPr="00056989">
        <w:rPr>
          <w:b/>
          <w:bCs/>
        </w:rPr>
        <w:t>Başkent Üniversitesi Ücretlendirme Değişkenleri</w:t>
      </w:r>
    </w:p>
    <w:p w14:paraId="06B5BF42" w14:textId="5D03B60D" w:rsidR="00E04FBB" w:rsidRPr="00982D89" w:rsidRDefault="00E04FBB" w:rsidP="006C49D7">
      <w:pPr>
        <w:spacing w:after="240"/>
        <w:jc w:val="both"/>
        <w:rPr>
          <w:b/>
          <w:bCs/>
        </w:rPr>
      </w:pPr>
      <w:r w:rsidRPr="00056989">
        <w:rPr>
          <w:b/>
          <w:bCs/>
        </w:rPr>
        <w:t xml:space="preserve">Madde 5- </w:t>
      </w:r>
      <w:r w:rsidRPr="001832B5">
        <w:rPr>
          <w:b/>
        </w:rPr>
        <w:t>(1)</w:t>
      </w:r>
      <w:r w:rsidRPr="00056989">
        <w:rPr>
          <w:b/>
          <w:bCs/>
        </w:rPr>
        <w:t xml:space="preserve"> </w:t>
      </w:r>
      <w:r w:rsidR="00C15251" w:rsidRPr="00056989">
        <w:rPr>
          <w:color w:val="000000" w:themeColor="text1"/>
        </w:rPr>
        <w:t xml:space="preserve">Başkent Üniversitesi </w:t>
      </w:r>
      <w:r w:rsidR="00F05735" w:rsidRPr="00056989">
        <w:rPr>
          <w:color w:val="000000" w:themeColor="text1"/>
        </w:rPr>
        <w:t>akademik personelinin ücretlendirilmesinde</w:t>
      </w:r>
      <w:r w:rsidR="00636533" w:rsidRPr="00056989">
        <w:rPr>
          <w:color w:val="000000" w:themeColor="text1"/>
        </w:rPr>
        <w:t xml:space="preserve">; kadro görevleri, idari görevler, </w:t>
      </w:r>
      <w:r w:rsidR="00F05735" w:rsidRPr="00056989">
        <w:rPr>
          <w:color w:val="000000" w:themeColor="text1"/>
        </w:rPr>
        <w:t>yetkinlikler</w:t>
      </w:r>
      <w:r w:rsidR="00636533" w:rsidRPr="00056989">
        <w:rPr>
          <w:color w:val="000000" w:themeColor="text1"/>
        </w:rPr>
        <w:t xml:space="preserve"> ve puan fakt</w:t>
      </w:r>
      <w:r w:rsidR="00636533">
        <w:rPr>
          <w:color w:val="000000" w:themeColor="text1"/>
        </w:rPr>
        <w:t xml:space="preserve">ör katsayısı esas alınır. </w:t>
      </w:r>
    </w:p>
    <w:p w14:paraId="0A27863D" w14:textId="3B9A1385" w:rsidR="00DB0526" w:rsidRDefault="006C49D7" w:rsidP="00DB0526">
      <w:pPr>
        <w:spacing w:after="240"/>
        <w:jc w:val="both"/>
      </w:pPr>
      <w:r>
        <w:rPr>
          <w:b/>
          <w:bCs/>
        </w:rPr>
        <w:t>(</w:t>
      </w:r>
      <w:r w:rsidR="00E04FBB">
        <w:rPr>
          <w:b/>
          <w:bCs/>
        </w:rPr>
        <w:t>2</w:t>
      </w:r>
      <w:r>
        <w:rPr>
          <w:b/>
          <w:bCs/>
        </w:rPr>
        <w:t>)</w:t>
      </w:r>
      <w:r w:rsidR="00E04FBB">
        <w:rPr>
          <w:b/>
          <w:bCs/>
        </w:rPr>
        <w:t xml:space="preserve"> </w:t>
      </w:r>
      <w:r w:rsidR="00DB0526" w:rsidRPr="00F4237A">
        <w:rPr>
          <w:b/>
          <w:bCs/>
        </w:rPr>
        <w:t>Kadro görevleri:</w:t>
      </w:r>
      <w:r w:rsidR="00DB0526">
        <w:t xml:space="preserve"> Profesör</w:t>
      </w:r>
      <w:r w:rsidR="00A72529">
        <w:t xml:space="preserve">, </w:t>
      </w:r>
      <w:r w:rsidR="00DB0526">
        <w:t>Doçent</w:t>
      </w:r>
      <w:r w:rsidR="00A72529">
        <w:t xml:space="preserve">, </w:t>
      </w:r>
      <w:r w:rsidR="00DB0526">
        <w:t>Dr. Öğretim Üyesi</w:t>
      </w:r>
      <w:r w:rsidR="00BE483D">
        <w:t>,</w:t>
      </w:r>
      <w:r w:rsidR="009337D0">
        <w:t xml:space="preserve"> Öğretim Görevlisi, </w:t>
      </w:r>
      <w:r w:rsidR="00DB0526">
        <w:t>Araştırma Görevlisi</w:t>
      </w:r>
      <w:r w:rsidR="009F1544">
        <w:t xml:space="preserve">, </w:t>
      </w:r>
      <w:r w:rsidR="001362C8">
        <w:t>Dr. Araştırma Görevlis</w:t>
      </w:r>
      <w:r w:rsidR="00132B62">
        <w:t>i görevleridir.</w:t>
      </w:r>
    </w:p>
    <w:p w14:paraId="47495A54" w14:textId="7C757E9A" w:rsidR="008B17BE" w:rsidRDefault="008B17BE" w:rsidP="008B17BE">
      <w:pPr>
        <w:spacing w:after="120"/>
        <w:jc w:val="both"/>
      </w:pPr>
      <w:r>
        <w:rPr>
          <w:b/>
          <w:bCs/>
        </w:rPr>
        <w:t>(</w:t>
      </w:r>
      <w:r w:rsidR="00E04FBB">
        <w:rPr>
          <w:b/>
          <w:bCs/>
        </w:rPr>
        <w:t>3</w:t>
      </w:r>
      <w:r>
        <w:rPr>
          <w:b/>
          <w:bCs/>
        </w:rPr>
        <w:t>)</w:t>
      </w:r>
      <w:r w:rsidR="00E04FBB">
        <w:rPr>
          <w:b/>
          <w:bCs/>
        </w:rPr>
        <w:t xml:space="preserve"> </w:t>
      </w:r>
      <w:r w:rsidRPr="00F4237A">
        <w:rPr>
          <w:b/>
          <w:bCs/>
        </w:rPr>
        <w:t>İdari görevler:</w:t>
      </w:r>
      <w:r>
        <w:t xml:space="preserve"> Başkent Üniversitesi akademisyenleri, </w:t>
      </w:r>
      <w:r w:rsidRPr="001362C8">
        <w:t>YÖK tarafından tanımlanan idari görevler</w:t>
      </w:r>
      <w:r>
        <w:t xml:space="preserve">e ek olarak </w:t>
      </w:r>
      <w:r w:rsidR="00132B62">
        <w:t>Ü</w:t>
      </w:r>
      <w:r>
        <w:t>niversite süreçlerinin e</w:t>
      </w:r>
      <w:r w:rsidR="00132B62">
        <w:t xml:space="preserve">tkinliği </w:t>
      </w:r>
      <w:r>
        <w:t xml:space="preserve">için diğer </w:t>
      </w:r>
      <w:r w:rsidR="00623708">
        <w:t>idari konularda da görev alır</w:t>
      </w:r>
      <w:r w:rsidR="00EF5B20">
        <w:t xml:space="preserve">. </w:t>
      </w:r>
      <w:r w:rsidRPr="004A2DF4">
        <w:rPr>
          <w:color w:val="000000" w:themeColor="text1"/>
        </w:rPr>
        <w:t xml:space="preserve">Rektör Yardımcılığı, Senatörlük, Dekanlık, </w:t>
      </w:r>
      <w:r w:rsidR="004A2DF4" w:rsidRPr="004A2DF4">
        <w:rPr>
          <w:color w:val="000000" w:themeColor="text1"/>
        </w:rPr>
        <w:t xml:space="preserve">Konservatuvar Müdürlüğü, Enstitü Müdürlüğü, Yüksekokul Müdürlüğü, </w:t>
      </w:r>
      <w:r w:rsidR="007235B4">
        <w:rPr>
          <w:color w:val="000000" w:themeColor="text1"/>
        </w:rPr>
        <w:t xml:space="preserve">Rektör Danışmanlığı, </w:t>
      </w:r>
      <w:r w:rsidR="004A2DF4" w:rsidRPr="004A2DF4">
        <w:rPr>
          <w:color w:val="000000" w:themeColor="text1"/>
        </w:rPr>
        <w:t xml:space="preserve">Uygulama ve Araştırma Merkez/Araştırma Merkez Müdürlüğü, </w:t>
      </w:r>
      <w:r w:rsidRPr="004A2DF4">
        <w:rPr>
          <w:color w:val="000000" w:themeColor="text1"/>
        </w:rPr>
        <w:t xml:space="preserve">Dekan Yardımcılığı, </w:t>
      </w:r>
      <w:r w:rsidR="004A2DF4" w:rsidRPr="004A2DF4">
        <w:rPr>
          <w:color w:val="000000" w:themeColor="text1"/>
        </w:rPr>
        <w:t>Enstitü Müdür Yardımcılığı, Yüksekokul Müdür Yardımcılığı, Uygulama ve Araştırma Merkez</w:t>
      </w:r>
      <w:r w:rsidR="004E25A4">
        <w:rPr>
          <w:color w:val="000000" w:themeColor="text1"/>
        </w:rPr>
        <w:t xml:space="preserve"> Müdür</w:t>
      </w:r>
      <w:r w:rsidR="004A2DF4" w:rsidRPr="004A2DF4">
        <w:rPr>
          <w:color w:val="000000" w:themeColor="text1"/>
        </w:rPr>
        <w:t xml:space="preserve"> Yardımcılığı/Araştırma Merkez Müdür Yardımcılığı, </w:t>
      </w:r>
      <w:r w:rsidRPr="004A2DF4">
        <w:rPr>
          <w:color w:val="000000" w:themeColor="text1"/>
        </w:rPr>
        <w:t xml:space="preserve">Bölüm Başkanlığı, </w:t>
      </w:r>
      <w:r w:rsidR="004A2DF4" w:rsidRPr="004A2DF4">
        <w:rPr>
          <w:color w:val="000000" w:themeColor="text1"/>
        </w:rPr>
        <w:t xml:space="preserve">Ana Bilim Dalı Başkanlığı, </w:t>
      </w:r>
      <w:r w:rsidRPr="004A2DF4">
        <w:rPr>
          <w:color w:val="000000" w:themeColor="text1"/>
        </w:rPr>
        <w:t>Bölüm Başkan</w:t>
      </w:r>
      <w:r w:rsidR="00811FC0" w:rsidRPr="004A2DF4">
        <w:rPr>
          <w:color w:val="000000" w:themeColor="text1"/>
        </w:rPr>
        <w:t xml:space="preserve"> </w:t>
      </w:r>
      <w:r w:rsidRPr="004A2DF4">
        <w:rPr>
          <w:color w:val="000000" w:themeColor="text1"/>
        </w:rPr>
        <w:t xml:space="preserve">Yardımcılığı, </w:t>
      </w:r>
      <w:r w:rsidR="00811FC0" w:rsidRPr="004A2DF4">
        <w:rPr>
          <w:color w:val="000000" w:themeColor="text1"/>
        </w:rPr>
        <w:t>Koordinatörlük, Birinci Seviye Kurul Ü</w:t>
      </w:r>
      <w:r w:rsidR="00791600">
        <w:rPr>
          <w:color w:val="000000" w:themeColor="text1"/>
        </w:rPr>
        <w:t>yeliği (Rektör Görevlendirmesi) ve İ</w:t>
      </w:r>
      <w:r w:rsidR="00811FC0" w:rsidRPr="004A2DF4">
        <w:rPr>
          <w:color w:val="000000" w:themeColor="text1"/>
        </w:rPr>
        <w:t>kinci Seviye Kurul Üyeliği (Dekan/Müdür Görevlendirmesi)</w:t>
      </w:r>
      <w:r w:rsidR="00C95455">
        <w:rPr>
          <w:color w:val="000000" w:themeColor="text1"/>
        </w:rPr>
        <w:t>,</w:t>
      </w:r>
      <w:r w:rsidR="00811FC0" w:rsidRPr="004A2DF4">
        <w:rPr>
          <w:color w:val="000000" w:themeColor="text1"/>
        </w:rPr>
        <w:t xml:space="preserve"> </w:t>
      </w:r>
      <w:r w:rsidR="00791600">
        <w:rPr>
          <w:color w:val="000000" w:themeColor="text1"/>
        </w:rPr>
        <w:t>görevleridir.</w:t>
      </w:r>
    </w:p>
    <w:p w14:paraId="0346B7CD" w14:textId="08104ECC" w:rsidR="00DB0526" w:rsidRPr="00056989" w:rsidRDefault="006C49D7" w:rsidP="00ED7F40">
      <w:pPr>
        <w:spacing w:after="240"/>
        <w:jc w:val="both"/>
      </w:pPr>
      <w:r>
        <w:rPr>
          <w:b/>
          <w:bCs/>
        </w:rPr>
        <w:t>(</w:t>
      </w:r>
      <w:r w:rsidR="00E04FBB">
        <w:rPr>
          <w:b/>
          <w:bCs/>
        </w:rPr>
        <w:t>4</w:t>
      </w:r>
      <w:r>
        <w:rPr>
          <w:b/>
          <w:bCs/>
        </w:rPr>
        <w:t>)</w:t>
      </w:r>
      <w:r w:rsidR="00E04FBB">
        <w:rPr>
          <w:b/>
          <w:bCs/>
        </w:rPr>
        <w:t xml:space="preserve"> </w:t>
      </w:r>
      <w:r w:rsidR="00D12416">
        <w:rPr>
          <w:b/>
          <w:bCs/>
        </w:rPr>
        <w:t>Yetkinlikler</w:t>
      </w:r>
      <w:r w:rsidR="00DB0526" w:rsidRPr="00F4237A">
        <w:rPr>
          <w:b/>
          <w:bCs/>
        </w:rPr>
        <w:t>:</w:t>
      </w:r>
      <w:r w:rsidR="00DB0526">
        <w:t xml:space="preserve"> </w:t>
      </w:r>
      <w:r w:rsidR="001362C8" w:rsidRPr="001362C8">
        <w:t>Başkent Üniversitesi</w:t>
      </w:r>
      <w:r w:rsidR="001F7A40" w:rsidRPr="001F7A40">
        <w:t xml:space="preserve"> akademik personelinin</w:t>
      </w:r>
      <w:r w:rsidR="00BE483D">
        <w:t>;</w:t>
      </w:r>
      <w:r w:rsidR="001362C8" w:rsidRPr="001362C8">
        <w:t xml:space="preserve"> </w:t>
      </w:r>
      <w:r w:rsidR="001832B5">
        <w:t>y</w:t>
      </w:r>
      <w:r w:rsidR="001362C8" w:rsidRPr="001362C8">
        <w:t xml:space="preserve">ayın, </w:t>
      </w:r>
      <w:r w:rsidR="001832B5">
        <w:t>p</w:t>
      </w:r>
      <w:r w:rsidR="001362C8" w:rsidRPr="001362C8">
        <w:t xml:space="preserve">roje, </w:t>
      </w:r>
      <w:r w:rsidR="001832B5">
        <w:t>bilgi t</w:t>
      </w:r>
      <w:r w:rsidR="001362C8" w:rsidRPr="001362C8">
        <w:t xml:space="preserve">ransferi ve </w:t>
      </w:r>
      <w:r w:rsidR="001832B5">
        <w:t>g</w:t>
      </w:r>
      <w:r w:rsidR="001362C8" w:rsidRPr="001362C8">
        <w:t xml:space="preserve">irişim </w:t>
      </w:r>
      <w:r w:rsidR="00BE483D">
        <w:t xml:space="preserve">olmak üzere </w:t>
      </w:r>
      <w:r w:rsidR="0036074B">
        <w:t>4 (</w:t>
      </w:r>
      <w:r w:rsidR="00BE483D">
        <w:t>dört</w:t>
      </w:r>
      <w:r w:rsidR="0036074B">
        <w:t>)</w:t>
      </w:r>
      <w:r w:rsidR="00BE483D" w:rsidRPr="001362C8">
        <w:t xml:space="preserve"> </w:t>
      </w:r>
      <w:r w:rsidR="00BE483D">
        <w:t xml:space="preserve">temel </w:t>
      </w:r>
      <w:r w:rsidR="001F7A40">
        <w:t>yetkinlik alanındaki çalışmalarını ifade eder.</w:t>
      </w:r>
      <w:r w:rsidR="009022D3">
        <w:t xml:space="preserve"> Bu </w:t>
      </w:r>
      <w:r w:rsidR="009022D3" w:rsidRPr="00056989">
        <w:t>yetkinlik alanları</w:t>
      </w:r>
      <w:r w:rsidR="007321AA" w:rsidRPr="00056989">
        <w:t>, Başkent Üniversitesi</w:t>
      </w:r>
      <w:r w:rsidR="001C6FA1" w:rsidRPr="00056989">
        <w:t xml:space="preserve"> Öğretim Elemanı</w:t>
      </w:r>
      <w:r w:rsidR="007321AA" w:rsidRPr="00056989">
        <w:t xml:space="preserve"> </w:t>
      </w:r>
      <w:r w:rsidR="009022D3" w:rsidRPr="00056989">
        <w:t>Atama</w:t>
      </w:r>
      <w:r w:rsidR="007321AA" w:rsidRPr="00056989">
        <w:t xml:space="preserve">, </w:t>
      </w:r>
      <w:r w:rsidR="009022D3" w:rsidRPr="00056989">
        <w:t>Yükseltme</w:t>
      </w:r>
      <w:r w:rsidR="007321AA" w:rsidRPr="00056989">
        <w:t xml:space="preserve"> ve Performans Ölçütleri Yönergesi</w:t>
      </w:r>
      <w:r w:rsidR="001832B5">
        <w:t xml:space="preserve"> Ek-1 ve </w:t>
      </w:r>
      <w:r w:rsidR="009022D3" w:rsidRPr="00056989">
        <w:t xml:space="preserve">2’de tanımlanmıştır. </w:t>
      </w:r>
    </w:p>
    <w:p w14:paraId="4C85B9E4" w14:textId="77777777" w:rsidR="003A18C5" w:rsidRPr="003A18C5" w:rsidRDefault="003A18C5" w:rsidP="00056989">
      <w:pPr>
        <w:spacing w:after="240"/>
        <w:jc w:val="center"/>
        <w:rPr>
          <w:b/>
          <w:bCs/>
        </w:rPr>
      </w:pPr>
      <w:r w:rsidRPr="003A18C5">
        <w:rPr>
          <w:b/>
          <w:bCs/>
        </w:rPr>
        <w:t>İKİNCİ BÖLÜM</w:t>
      </w:r>
    </w:p>
    <w:p w14:paraId="07E3B79A" w14:textId="359D0938" w:rsidR="003A18C5" w:rsidRPr="003A18C5" w:rsidRDefault="00533EB4" w:rsidP="00343ACB">
      <w:pPr>
        <w:spacing w:after="2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Akademik Personel</w:t>
      </w:r>
      <w:r w:rsidR="001832B5">
        <w:rPr>
          <w:b/>
          <w:bCs/>
          <w:color w:val="000000" w:themeColor="text1"/>
        </w:rPr>
        <w:t>in</w:t>
      </w:r>
      <w:r>
        <w:rPr>
          <w:b/>
          <w:bCs/>
          <w:color w:val="000000" w:themeColor="text1"/>
        </w:rPr>
        <w:t xml:space="preserve"> Çalışma Statüleri</w:t>
      </w:r>
    </w:p>
    <w:p w14:paraId="2A701BD0" w14:textId="2579EAEE" w:rsidR="005C41CB" w:rsidRPr="001B7F72" w:rsidRDefault="003A18C5" w:rsidP="00343ACB">
      <w:pPr>
        <w:spacing w:after="240"/>
        <w:jc w:val="both"/>
      </w:pPr>
      <w:r w:rsidRPr="003A18C5">
        <w:rPr>
          <w:b/>
          <w:bCs/>
        </w:rPr>
        <w:t xml:space="preserve">Madde </w:t>
      </w:r>
      <w:r w:rsidR="00EF5B20">
        <w:rPr>
          <w:b/>
          <w:bCs/>
        </w:rPr>
        <w:t>6</w:t>
      </w:r>
      <w:r w:rsidRPr="003A18C5">
        <w:rPr>
          <w:b/>
          <w:bCs/>
        </w:rPr>
        <w:t>-</w:t>
      </w:r>
      <w:r>
        <w:t xml:space="preserve"> </w:t>
      </w:r>
      <w:r w:rsidR="001832B5">
        <w:t>A</w:t>
      </w:r>
      <w:r w:rsidRPr="003A18C5">
        <w:t>kademik personel</w:t>
      </w:r>
      <w:r w:rsidR="001832B5">
        <w:t xml:space="preserve">; </w:t>
      </w:r>
      <w:r w:rsidRPr="003A18C5">
        <w:t xml:space="preserve">tam </w:t>
      </w:r>
      <w:r w:rsidRPr="003A18C5">
        <w:rPr>
          <w:rFonts w:eastAsiaTheme="minorHAnsi"/>
          <w:lang w:eastAsia="en-US"/>
        </w:rPr>
        <w:t>zam</w:t>
      </w:r>
      <w:r w:rsidRPr="001B7F72">
        <w:rPr>
          <w:rFonts w:eastAsiaTheme="minorHAnsi"/>
          <w:lang w:eastAsia="en-US"/>
        </w:rPr>
        <w:t>anlı</w:t>
      </w:r>
      <w:r w:rsidR="001832B5">
        <w:t xml:space="preserve">, </w:t>
      </w:r>
      <w:r w:rsidR="001D22B5" w:rsidRPr="001B7F72">
        <w:t>esnek</w:t>
      </w:r>
      <w:r w:rsidR="007330AF" w:rsidRPr="001B7F72">
        <w:t xml:space="preserve"> </w:t>
      </w:r>
      <w:r w:rsidR="00B14024">
        <w:t>zamanlı</w:t>
      </w:r>
      <w:r w:rsidR="001832B5">
        <w:t xml:space="preserve"> ve ders saati ücretli</w:t>
      </w:r>
      <w:r w:rsidRPr="001B7F72">
        <w:t xml:space="preserve"> olmak üzere </w:t>
      </w:r>
      <w:r w:rsidR="007D43CE">
        <w:t>3 (</w:t>
      </w:r>
      <w:r w:rsidRPr="001B7F72">
        <w:t>üç</w:t>
      </w:r>
      <w:r w:rsidR="007D43CE">
        <w:t>)</w:t>
      </w:r>
      <w:r w:rsidRPr="001B7F72">
        <w:t xml:space="preserve"> ayrı statüde </w:t>
      </w:r>
      <w:r w:rsidR="001832B5">
        <w:t>görevlendirilir.</w:t>
      </w:r>
    </w:p>
    <w:p w14:paraId="6BD8B7E4" w14:textId="3CCB5DE0" w:rsidR="003A18C5" w:rsidRPr="001B7F72" w:rsidRDefault="003A18C5" w:rsidP="00B14024">
      <w:pPr>
        <w:spacing w:after="240"/>
        <w:jc w:val="both"/>
      </w:pPr>
      <w:r w:rsidRPr="001B7F72">
        <w:rPr>
          <w:b/>
          <w:bCs/>
        </w:rPr>
        <w:t>Tam Zamanlı</w:t>
      </w:r>
      <w:r w:rsidR="00B14024">
        <w:rPr>
          <w:b/>
          <w:bCs/>
        </w:rPr>
        <w:t xml:space="preserve"> Çalışan</w:t>
      </w:r>
      <w:r w:rsidRPr="001B7F72">
        <w:rPr>
          <w:b/>
          <w:bCs/>
        </w:rPr>
        <w:t xml:space="preserve"> Öğretim Eleman</w:t>
      </w:r>
      <w:r w:rsidR="00407437" w:rsidRPr="001B7F72">
        <w:rPr>
          <w:b/>
          <w:bCs/>
        </w:rPr>
        <w:t>ı</w:t>
      </w:r>
      <w:r w:rsidRPr="001B7F72">
        <w:rPr>
          <w:b/>
          <w:bCs/>
        </w:rPr>
        <w:t>:</w:t>
      </w:r>
      <w:r w:rsidR="004B5DF8" w:rsidRPr="001B7F72">
        <w:rPr>
          <w:b/>
          <w:bCs/>
        </w:rPr>
        <w:t xml:space="preserve"> </w:t>
      </w:r>
      <w:r w:rsidR="00407437" w:rsidRPr="001B7F72">
        <w:rPr>
          <w:rFonts w:ascii="Times" w:hAnsi="Times"/>
          <w:color w:val="000000"/>
        </w:rPr>
        <w:t>T</w:t>
      </w:r>
      <w:r w:rsidR="00407437" w:rsidRPr="001B7F72">
        <w:t>üm eğitim-öğretim ve/veya araştırma görevlerini Üniversitede yapan öğretim eleman</w:t>
      </w:r>
      <w:r w:rsidR="00533EB4" w:rsidRPr="001B7F72">
        <w:t>ıdır.</w:t>
      </w:r>
    </w:p>
    <w:p w14:paraId="065A9CFA" w14:textId="6768347D" w:rsidR="003A18C5" w:rsidRPr="00623708" w:rsidRDefault="003008FE" w:rsidP="00B14024">
      <w:pPr>
        <w:spacing w:after="240"/>
        <w:jc w:val="both"/>
        <w:rPr>
          <w:rFonts w:ascii="Times" w:hAnsi="Times"/>
        </w:rPr>
      </w:pPr>
      <w:r w:rsidRPr="00623708">
        <w:rPr>
          <w:b/>
          <w:bCs/>
        </w:rPr>
        <w:t xml:space="preserve">Esnek </w:t>
      </w:r>
      <w:r w:rsidR="00B14024" w:rsidRPr="00623708">
        <w:rPr>
          <w:b/>
          <w:bCs/>
        </w:rPr>
        <w:t xml:space="preserve">Zamanlı </w:t>
      </w:r>
      <w:r w:rsidRPr="00623708">
        <w:rPr>
          <w:b/>
          <w:bCs/>
        </w:rPr>
        <w:t>Çalış</w:t>
      </w:r>
      <w:r w:rsidR="005256E1" w:rsidRPr="00623708">
        <w:rPr>
          <w:b/>
          <w:bCs/>
        </w:rPr>
        <w:t>an Öğretim Elemanı</w:t>
      </w:r>
      <w:r w:rsidR="003A18C5" w:rsidRPr="00623708">
        <w:rPr>
          <w:b/>
          <w:bCs/>
        </w:rPr>
        <w:t>:</w:t>
      </w:r>
      <w:r w:rsidR="00C53722" w:rsidRPr="00623708">
        <w:rPr>
          <w:rFonts w:ascii="Times" w:hAnsi="Times"/>
        </w:rPr>
        <w:t xml:space="preserve"> 4857 sayılı Kanunda belirtilen</w:t>
      </w:r>
      <w:r w:rsidR="007D43CE">
        <w:rPr>
          <w:rFonts w:ascii="Times" w:hAnsi="Times"/>
        </w:rPr>
        <w:t>;</w:t>
      </w:r>
      <w:r w:rsidR="00C53722" w:rsidRPr="00623708">
        <w:rPr>
          <w:rFonts w:ascii="Times" w:hAnsi="Times"/>
        </w:rPr>
        <w:t xml:space="preserve"> </w:t>
      </w:r>
      <w:r w:rsidR="00623708" w:rsidRPr="00623708">
        <w:rPr>
          <w:rFonts w:ascii="Times" w:hAnsi="Times"/>
        </w:rPr>
        <w:t>belirli süreli sözleşme,</w:t>
      </w:r>
      <w:r w:rsidR="0018554B" w:rsidRPr="00623708">
        <w:rPr>
          <w:rFonts w:ascii="Times" w:hAnsi="Times"/>
        </w:rPr>
        <w:t xml:space="preserve"> </w:t>
      </w:r>
      <w:r w:rsidR="00623708" w:rsidRPr="00623708">
        <w:rPr>
          <w:rFonts w:ascii="Times" w:hAnsi="Times"/>
        </w:rPr>
        <w:t>kısmi süreli çalışma</w:t>
      </w:r>
      <w:r w:rsidR="00C53722" w:rsidRPr="00623708">
        <w:rPr>
          <w:rFonts w:ascii="Times" w:hAnsi="Times"/>
        </w:rPr>
        <w:t>, çağrı üzerine ç</w:t>
      </w:r>
      <w:r w:rsidR="00623708" w:rsidRPr="00623708">
        <w:rPr>
          <w:rFonts w:ascii="Times" w:hAnsi="Times"/>
        </w:rPr>
        <w:t>alışma ve uzaktan çalışma</w:t>
      </w:r>
      <w:r w:rsidR="005256E1" w:rsidRPr="00623708">
        <w:rPr>
          <w:rFonts w:ascii="Times" w:hAnsi="Times"/>
        </w:rPr>
        <w:t xml:space="preserve"> kurallarına göre </w:t>
      </w:r>
      <w:r w:rsidR="00623708" w:rsidRPr="00623708">
        <w:rPr>
          <w:rFonts w:ascii="Times" w:hAnsi="Times"/>
        </w:rPr>
        <w:t>görevlendirilen</w:t>
      </w:r>
      <w:r w:rsidR="00FD1FDA" w:rsidRPr="00623708">
        <w:rPr>
          <w:rFonts w:ascii="Times" w:hAnsi="Times"/>
        </w:rPr>
        <w:t xml:space="preserve"> öğretim elemanıdır. </w:t>
      </w:r>
      <w:r w:rsidR="001B7F72" w:rsidRPr="00623708">
        <w:rPr>
          <w:rFonts w:ascii="Times" w:hAnsi="Times"/>
        </w:rPr>
        <w:t xml:space="preserve"> </w:t>
      </w:r>
    </w:p>
    <w:p w14:paraId="413503F2" w14:textId="3D7376CB" w:rsidR="00533EB4" w:rsidRDefault="003A18C5" w:rsidP="00B14024">
      <w:pPr>
        <w:spacing w:after="240"/>
        <w:jc w:val="both"/>
      </w:pPr>
      <w:r w:rsidRPr="003A18C5">
        <w:rPr>
          <w:b/>
          <w:bCs/>
        </w:rPr>
        <w:lastRenderedPageBreak/>
        <w:t>Ders Saati Ücretli Öğretim Eleman</w:t>
      </w:r>
      <w:r w:rsidR="00407437">
        <w:rPr>
          <w:b/>
          <w:bCs/>
        </w:rPr>
        <w:t>ı</w:t>
      </w:r>
      <w:r w:rsidRPr="003A18C5">
        <w:rPr>
          <w:b/>
          <w:bCs/>
        </w:rPr>
        <w:t xml:space="preserve">: </w:t>
      </w:r>
      <w:r w:rsidR="00533EB4">
        <w:rPr>
          <w:szCs w:val="18"/>
        </w:rPr>
        <w:t>A</w:t>
      </w:r>
      <w:r w:rsidR="00533EB4" w:rsidRPr="00D75B15">
        <w:rPr>
          <w:szCs w:val="18"/>
        </w:rPr>
        <w:t xml:space="preserve">tanmış öğretim üyesi bulunmayan dersler veya herhangi bir özel bilgi ve uzmanlık isteyen konuların </w:t>
      </w:r>
      <w:r w:rsidR="00F02206" w:rsidRPr="00D75B15">
        <w:rPr>
          <w:szCs w:val="18"/>
        </w:rPr>
        <w:t>eğitim-</w:t>
      </w:r>
      <w:r w:rsidR="00533EB4" w:rsidRPr="00D75B15">
        <w:rPr>
          <w:szCs w:val="18"/>
        </w:rPr>
        <w:t>öğretim ve uygulamaları için ders saati ücreti ile</w:t>
      </w:r>
      <w:r w:rsidR="00533EB4">
        <w:rPr>
          <w:szCs w:val="18"/>
        </w:rPr>
        <w:t xml:space="preserve"> görevlendirilen öğretim elemanıdır.</w:t>
      </w:r>
    </w:p>
    <w:p w14:paraId="617E5252" w14:textId="637EC64F" w:rsidR="00533EB4" w:rsidRPr="003A18C5" w:rsidRDefault="00533EB4" w:rsidP="00343ACB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ÜÇÜNCÜ </w:t>
      </w:r>
      <w:r w:rsidRPr="003A18C5">
        <w:rPr>
          <w:b/>
          <w:bCs/>
        </w:rPr>
        <w:t>BÖLÜM</w:t>
      </w:r>
    </w:p>
    <w:p w14:paraId="58697A1B" w14:textId="7233A37C" w:rsidR="00533EB4" w:rsidRDefault="00533EB4" w:rsidP="00343ACB">
      <w:pPr>
        <w:spacing w:after="240"/>
        <w:jc w:val="center"/>
        <w:rPr>
          <w:b/>
          <w:bCs/>
          <w:color w:val="000000" w:themeColor="text1"/>
        </w:rPr>
      </w:pPr>
      <w:bookmarkStart w:id="1" w:name="_Hlk120461590"/>
      <w:r>
        <w:rPr>
          <w:b/>
          <w:bCs/>
          <w:color w:val="000000" w:themeColor="text1"/>
        </w:rPr>
        <w:t xml:space="preserve">Akademik Personel Ücretlendirme Usul ve Esasları </w:t>
      </w:r>
    </w:p>
    <w:bookmarkEnd w:id="1"/>
    <w:p w14:paraId="022B6027" w14:textId="20B114A0" w:rsidR="002731B2" w:rsidRDefault="00963E51" w:rsidP="00623708">
      <w:pPr>
        <w:spacing w:after="240"/>
        <w:jc w:val="both"/>
        <w:rPr>
          <w:bCs/>
          <w:color w:val="000000"/>
        </w:rPr>
      </w:pPr>
      <w:r>
        <w:rPr>
          <w:b/>
          <w:bCs/>
          <w:color w:val="000000" w:themeColor="text1"/>
        </w:rPr>
        <w:t xml:space="preserve">Madde </w:t>
      </w:r>
      <w:r w:rsidR="00EF5B20">
        <w:rPr>
          <w:b/>
          <w:bCs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- </w:t>
      </w:r>
      <w:r w:rsidR="00B02138" w:rsidRPr="00B02138">
        <w:rPr>
          <w:color w:val="000000" w:themeColor="text1"/>
        </w:rPr>
        <w:t>(1)</w:t>
      </w:r>
      <w:r w:rsidR="00B02138">
        <w:rPr>
          <w:b/>
          <w:bCs/>
          <w:color w:val="000000" w:themeColor="text1"/>
        </w:rPr>
        <w:t xml:space="preserve"> </w:t>
      </w:r>
      <w:r w:rsidR="00FC43E1">
        <w:rPr>
          <w:color w:val="000000" w:themeColor="text1"/>
        </w:rPr>
        <w:t>Akademik personelin</w:t>
      </w:r>
      <w:r w:rsidR="003A18C5" w:rsidRPr="003A18C5">
        <w:rPr>
          <w:color w:val="000000" w:themeColor="text1"/>
        </w:rPr>
        <w:t xml:space="preserve"> ücretlendirilmesi</w:t>
      </w:r>
      <w:r w:rsidR="005C76E6">
        <w:rPr>
          <w:color w:val="000000" w:themeColor="text1"/>
        </w:rPr>
        <w:t xml:space="preserve">; </w:t>
      </w:r>
      <w:r w:rsidR="00623708">
        <w:rPr>
          <w:color w:val="000000" w:themeColor="text1"/>
        </w:rPr>
        <w:t xml:space="preserve">bu </w:t>
      </w:r>
      <w:r w:rsidR="007D43CE">
        <w:rPr>
          <w:color w:val="000000" w:themeColor="text1"/>
        </w:rPr>
        <w:t xml:space="preserve">Yönergenin </w:t>
      </w:r>
      <w:r w:rsidR="005C76E6">
        <w:rPr>
          <w:color w:val="000000" w:themeColor="text1"/>
        </w:rPr>
        <w:t>5. m</w:t>
      </w:r>
      <w:r w:rsidR="00623708">
        <w:rPr>
          <w:color w:val="000000" w:themeColor="text1"/>
        </w:rPr>
        <w:t>addesinde</w:t>
      </w:r>
      <w:r w:rsidR="00725402">
        <w:rPr>
          <w:color w:val="000000" w:themeColor="text1"/>
        </w:rPr>
        <w:t xml:space="preserve"> tanımlanan ücretlendirme değişkenleri esas alınarak</w:t>
      </w:r>
      <w:r w:rsidR="00EF5B20">
        <w:rPr>
          <w:color w:val="000000" w:themeColor="text1"/>
        </w:rPr>
        <w:t xml:space="preserve"> </w:t>
      </w:r>
      <w:r w:rsidR="00EF5B20" w:rsidRPr="003E150F">
        <w:rPr>
          <w:bCs/>
          <w:color w:val="000000"/>
        </w:rPr>
        <w:t>gerçekleştirilir.</w:t>
      </w:r>
    </w:p>
    <w:p w14:paraId="0E555162" w14:textId="2CAA19A9" w:rsidR="00B02138" w:rsidRDefault="009F1544" w:rsidP="00343ACB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Üc</w:t>
      </w:r>
      <w:r w:rsidR="007D43CE">
        <w:rPr>
          <w:bCs/>
          <w:color w:val="000000"/>
        </w:rPr>
        <w:t>ret</w:t>
      </w:r>
      <w:r>
        <w:rPr>
          <w:bCs/>
          <w:color w:val="000000"/>
        </w:rPr>
        <w:t xml:space="preserve">lendirme </w:t>
      </w:r>
      <w:r w:rsidR="009022D3">
        <w:rPr>
          <w:bCs/>
          <w:color w:val="000000"/>
        </w:rPr>
        <w:t xml:space="preserve">sisteminde </w:t>
      </w:r>
      <w:r w:rsidR="00623708">
        <w:rPr>
          <w:bCs/>
          <w:color w:val="000000"/>
        </w:rPr>
        <w:t>belirlenen</w:t>
      </w:r>
      <w:r w:rsidR="009022D3">
        <w:rPr>
          <w:bCs/>
          <w:color w:val="000000"/>
        </w:rPr>
        <w:t xml:space="preserve"> puanlar</w:t>
      </w:r>
      <w:r w:rsidR="0035506A">
        <w:rPr>
          <w:bCs/>
          <w:color w:val="000000"/>
        </w:rPr>
        <w:t xml:space="preserve">, katsayılar </w:t>
      </w:r>
      <w:r w:rsidR="009022D3">
        <w:rPr>
          <w:bCs/>
          <w:color w:val="000000"/>
        </w:rPr>
        <w:t>ve esaslar</w:t>
      </w:r>
      <w:r w:rsidR="0035506A">
        <w:rPr>
          <w:bCs/>
          <w:color w:val="000000"/>
        </w:rPr>
        <w:t xml:space="preserve"> her yıl</w:t>
      </w:r>
      <w:r w:rsidR="009022D3">
        <w:rPr>
          <w:bCs/>
          <w:color w:val="000000"/>
        </w:rPr>
        <w:t xml:space="preserve"> </w:t>
      </w:r>
      <w:r w:rsidR="00623708">
        <w:rPr>
          <w:bCs/>
          <w:color w:val="000000"/>
        </w:rPr>
        <w:t xml:space="preserve">AİKİD </w:t>
      </w:r>
      <w:r w:rsidR="0035506A" w:rsidRPr="001362C8">
        <w:t>tarafından</w:t>
      </w:r>
      <w:r w:rsidR="009022D3">
        <w:t xml:space="preserve"> </w:t>
      </w:r>
      <w:r w:rsidR="0035506A">
        <w:t>güncellenerek</w:t>
      </w:r>
      <w:r w:rsidR="009022D3">
        <w:t xml:space="preserve"> Rektör</w:t>
      </w:r>
      <w:r w:rsidR="0035506A">
        <w:t xml:space="preserve">ün </w:t>
      </w:r>
      <w:r w:rsidR="008F4E42">
        <w:t>takdirine</w:t>
      </w:r>
      <w:r w:rsidR="0035506A">
        <w:t xml:space="preserve"> sunulur</w:t>
      </w:r>
      <w:r w:rsidR="008F4E42">
        <w:t>.</w:t>
      </w:r>
      <w:r w:rsidR="009022D3">
        <w:t xml:space="preserve"> </w:t>
      </w:r>
    </w:p>
    <w:p w14:paraId="3BFEE98D" w14:textId="39FA5CE2" w:rsidR="007A791E" w:rsidRDefault="00B02138" w:rsidP="0060443C">
      <w:pPr>
        <w:spacing w:after="240"/>
        <w:jc w:val="both"/>
        <w:rPr>
          <w:color w:val="000000"/>
        </w:rPr>
      </w:pPr>
      <w:r w:rsidRPr="00B02138">
        <w:rPr>
          <w:bCs/>
          <w:color w:val="000000"/>
        </w:rPr>
        <w:t>(2)</w:t>
      </w:r>
      <w:r>
        <w:rPr>
          <w:b/>
          <w:color w:val="000000"/>
        </w:rPr>
        <w:t xml:space="preserve"> </w:t>
      </w:r>
      <w:r w:rsidR="002731B2" w:rsidRPr="00056989">
        <w:rPr>
          <w:color w:val="000000"/>
        </w:rPr>
        <w:t>Akademik personel</w:t>
      </w:r>
      <w:r w:rsidR="002731B2">
        <w:rPr>
          <w:b/>
          <w:color w:val="000000"/>
        </w:rPr>
        <w:t xml:space="preserve"> </w:t>
      </w:r>
      <w:r w:rsidR="002731B2">
        <w:rPr>
          <w:color w:val="000000"/>
        </w:rPr>
        <w:t>ü</w:t>
      </w:r>
      <w:r w:rsidR="002F147F">
        <w:rPr>
          <w:color w:val="000000"/>
        </w:rPr>
        <w:t>cretle</w:t>
      </w:r>
      <w:r w:rsidR="00885F7E">
        <w:rPr>
          <w:color w:val="000000"/>
        </w:rPr>
        <w:t>rin</w:t>
      </w:r>
      <w:r w:rsidR="002731B2">
        <w:rPr>
          <w:color w:val="000000"/>
        </w:rPr>
        <w:t xml:space="preserve">in belirlenmesinde; kadro görevleri, yetkinlikler </w:t>
      </w:r>
      <w:r w:rsidR="002731B2" w:rsidRPr="002731B2">
        <w:rPr>
          <w:color w:val="000000"/>
        </w:rPr>
        <w:t>ve idari görev</w:t>
      </w:r>
      <w:r w:rsidR="00623708">
        <w:rPr>
          <w:color w:val="000000"/>
        </w:rPr>
        <w:t>ler</w:t>
      </w:r>
      <w:r w:rsidR="007A791E">
        <w:rPr>
          <w:color w:val="000000"/>
        </w:rPr>
        <w:t>den alınan puanlar</w:t>
      </w:r>
      <w:r w:rsidR="002731B2" w:rsidRPr="002731B2">
        <w:rPr>
          <w:color w:val="000000"/>
        </w:rPr>
        <w:t xml:space="preserve"> </w:t>
      </w:r>
      <w:r w:rsidR="005A3FCE">
        <w:rPr>
          <w:color w:val="000000"/>
        </w:rPr>
        <w:t xml:space="preserve">PFK katsayısı ile </w:t>
      </w:r>
      <w:r w:rsidR="007A791E">
        <w:rPr>
          <w:color w:val="000000"/>
        </w:rPr>
        <w:t xml:space="preserve">çarpılarak, </w:t>
      </w:r>
      <w:r w:rsidR="00E6634B">
        <w:rPr>
          <w:color w:val="000000"/>
        </w:rPr>
        <w:t xml:space="preserve">Başkent Üniversitesi </w:t>
      </w:r>
      <w:r w:rsidR="001D21F4">
        <w:rPr>
          <w:color w:val="000000"/>
        </w:rPr>
        <w:t xml:space="preserve">Akademik </w:t>
      </w:r>
      <w:r w:rsidR="00E6634B">
        <w:rPr>
          <w:color w:val="000000"/>
        </w:rPr>
        <w:t>İn</w:t>
      </w:r>
      <w:r w:rsidR="001D21F4">
        <w:rPr>
          <w:color w:val="000000"/>
        </w:rPr>
        <w:t xml:space="preserve">san Kaynakları Yönetimi </w:t>
      </w:r>
      <w:r w:rsidR="00E6634B">
        <w:rPr>
          <w:color w:val="000000"/>
        </w:rPr>
        <w:t xml:space="preserve">Kılavuzunda </w:t>
      </w:r>
      <w:r w:rsidR="00AF1DE2">
        <w:rPr>
          <w:color w:val="000000"/>
        </w:rPr>
        <w:t xml:space="preserve">açıklandığı </w:t>
      </w:r>
      <w:r w:rsidR="00623708">
        <w:rPr>
          <w:color w:val="000000"/>
        </w:rPr>
        <w:t xml:space="preserve">gibi hesaplanır ve </w:t>
      </w:r>
      <w:r w:rsidR="00623708" w:rsidRPr="00623708">
        <w:rPr>
          <w:color w:val="000000"/>
        </w:rPr>
        <w:t>ücrete dönüştürülür</w:t>
      </w:r>
      <w:r w:rsidR="00623708">
        <w:rPr>
          <w:color w:val="000000"/>
        </w:rPr>
        <w:t>.</w:t>
      </w:r>
      <w:r w:rsidR="00623708" w:rsidRPr="00623708">
        <w:rPr>
          <w:color w:val="000000"/>
        </w:rPr>
        <w:t xml:space="preserve"> </w:t>
      </w:r>
    </w:p>
    <w:p w14:paraId="4552D480" w14:textId="51366F25" w:rsidR="002C56DB" w:rsidRPr="002D607C" w:rsidRDefault="00963E51" w:rsidP="002D607C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2D607C">
        <w:rPr>
          <w:b/>
          <w:bCs/>
          <w:color w:val="000000"/>
        </w:rPr>
        <w:t xml:space="preserve">Madde </w:t>
      </w:r>
      <w:r w:rsidR="00EF5B20">
        <w:rPr>
          <w:b/>
          <w:bCs/>
          <w:color w:val="000000"/>
        </w:rPr>
        <w:t>8</w:t>
      </w:r>
      <w:r w:rsidRPr="002D607C">
        <w:rPr>
          <w:b/>
          <w:bCs/>
          <w:color w:val="000000"/>
        </w:rPr>
        <w:t xml:space="preserve">- </w:t>
      </w:r>
      <w:r w:rsidR="009F1544">
        <w:rPr>
          <w:bCs/>
          <w:color w:val="000000"/>
        </w:rPr>
        <w:t>Ücretlendirme</w:t>
      </w:r>
      <w:r w:rsidR="00DD27C0" w:rsidRPr="00DD27C0">
        <w:rPr>
          <w:bCs/>
          <w:color w:val="000000"/>
        </w:rPr>
        <w:t xml:space="preserve"> sisteminin unsurları dışında kalan</w:t>
      </w:r>
      <w:r w:rsidR="005968EB" w:rsidRPr="002D607C">
        <w:rPr>
          <w:color w:val="000000"/>
        </w:rPr>
        <w:t xml:space="preserve"> </w:t>
      </w:r>
      <w:r w:rsidR="00AC5DD7">
        <w:rPr>
          <w:color w:val="000000"/>
        </w:rPr>
        <w:t xml:space="preserve">ve </w:t>
      </w:r>
      <w:r w:rsidRPr="002D607C">
        <w:rPr>
          <w:color w:val="000000"/>
        </w:rPr>
        <w:t xml:space="preserve">olağanüstü </w:t>
      </w:r>
      <w:r w:rsidR="00AC5DD7">
        <w:rPr>
          <w:color w:val="000000"/>
        </w:rPr>
        <w:t>olarak değerlendirilen başarıları</w:t>
      </w:r>
      <w:r w:rsidRPr="002D607C">
        <w:rPr>
          <w:color w:val="000000"/>
        </w:rPr>
        <w:t xml:space="preserve"> nedeniyle</w:t>
      </w:r>
      <w:r w:rsidR="00AC5DD7">
        <w:rPr>
          <w:color w:val="000000"/>
        </w:rPr>
        <w:t>,</w:t>
      </w:r>
      <w:r w:rsidRPr="002D607C">
        <w:rPr>
          <w:color w:val="000000"/>
        </w:rPr>
        <w:t xml:space="preserve"> </w:t>
      </w:r>
      <w:r w:rsidR="005968EB" w:rsidRPr="002D607C">
        <w:rPr>
          <w:color w:val="000000"/>
        </w:rPr>
        <w:t>R</w:t>
      </w:r>
      <w:r w:rsidRPr="002D607C">
        <w:rPr>
          <w:color w:val="000000"/>
        </w:rPr>
        <w:t>ektörlük</w:t>
      </w:r>
      <w:r w:rsidR="00F41A31">
        <w:rPr>
          <w:color w:val="000000"/>
        </w:rPr>
        <w:t xml:space="preserve"> Makamı</w:t>
      </w:r>
      <w:r w:rsidRPr="002D607C">
        <w:rPr>
          <w:color w:val="000000"/>
        </w:rPr>
        <w:t xml:space="preserve"> tarafından takdir edilen </w:t>
      </w:r>
      <w:r w:rsidR="00F41A31">
        <w:rPr>
          <w:color w:val="000000"/>
        </w:rPr>
        <w:t>akademik personele</w:t>
      </w:r>
      <w:r w:rsidR="00AC5DD7">
        <w:rPr>
          <w:color w:val="000000"/>
        </w:rPr>
        <w:t xml:space="preserve"> </w:t>
      </w:r>
      <w:r w:rsidR="005968EB" w:rsidRPr="002D607C">
        <w:rPr>
          <w:color w:val="000000"/>
        </w:rPr>
        <w:t>ödül verilebilir.</w:t>
      </w:r>
      <w:r w:rsidR="00E61684" w:rsidRPr="002D607C">
        <w:rPr>
          <w:color w:val="000000"/>
        </w:rPr>
        <w:t xml:space="preserve"> </w:t>
      </w:r>
    </w:p>
    <w:p w14:paraId="251A4611" w14:textId="5135F194" w:rsidR="006E1715" w:rsidRDefault="006E1715" w:rsidP="00343ACB">
      <w:pPr>
        <w:spacing w:after="2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Ek Ders Ücreti Ödeme</w:t>
      </w:r>
      <w:r w:rsidR="00F2427A">
        <w:rPr>
          <w:b/>
          <w:bCs/>
          <w:color w:val="000000" w:themeColor="text1"/>
        </w:rPr>
        <w:t>si</w:t>
      </w:r>
    </w:p>
    <w:p w14:paraId="23EED2F2" w14:textId="239284CD" w:rsidR="00281C4E" w:rsidRDefault="006E1715" w:rsidP="00343ACB">
      <w:pPr>
        <w:spacing w:after="24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Madde </w:t>
      </w:r>
      <w:r w:rsidR="00703C27">
        <w:rPr>
          <w:b/>
          <w:bCs/>
          <w:color w:val="000000" w:themeColor="text1"/>
        </w:rPr>
        <w:t>9</w:t>
      </w:r>
      <w:r w:rsidR="003A18C5">
        <w:rPr>
          <w:b/>
          <w:bCs/>
          <w:color w:val="000000" w:themeColor="text1"/>
        </w:rPr>
        <w:t xml:space="preserve"> </w:t>
      </w:r>
      <w:r w:rsidR="00BE40EA" w:rsidRPr="00DF58DF">
        <w:rPr>
          <w:b/>
          <w:bCs/>
          <w:color w:val="000000" w:themeColor="text1"/>
        </w:rPr>
        <w:t>–</w:t>
      </w:r>
      <w:r w:rsidR="003A18C5" w:rsidRPr="00DF58DF">
        <w:rPr>
          <w:b/>
          <w:bCs/>
          <w:color w:val="000000" w:themeColor="text1"/>
        </w:rPr>
        <w:t xml:space="preserve"> </w:t>
      </w:r>
      <w:r w:rsidR="00281C4E" w:rsidRPr="00DF58DF">
        <w:rPr>
          <w:color w:val="000000" w:themeColor="text1"/>
        </w:rPr>
        <w:t xml:space="preserve">(1) </w:t>
      </w:r>
      <w:r w:rsidR="00FC019D" w:rsidRPr="00DF58DF">
        <w:rPr>
          <w:color w:val="000000" w:themeColor="text1"/>
        </w:rPr>
        <w:t xml:space="preserve">Bir öğretim </w:t>
      </w:r>
      <w:r w:rsidR="005C15EB">
        <w:rPr>
          <w:color w:val="000000" w:themeColor="text1"/>
        </w:rPr>
        <w:t>elemanı</w:t>
      </w:r>
      <w:r w:rsidR="00FC019D" w:rsidRPr="00DF58DF">
        <w:rPr>
          <w:color w:val="000000" w:themeColor="text1"/>
        </w:rPr>
        <w:t xml:space="preserve"> en fazla 30</w:t>
      </w:r>
      <w:r w:rsidR="00A23861">
        <w:rPr>
          <w:color w:val="000000" w:themeColor="text1"/>
        </w:rPr>
        <w:t xml:space="preserve"> (otuz)</w:t>
      </w:r>
      <w:r w:rsidR="00FC019D" w:rsidRPr="00DF58DF">
        <w:rPr>
          <w:color w:val="000000" w:themeColor="text1"/>
        </w:rPr>
        <w:t xml:space="preserve"> saat ders verebilir. </w:t>
      </w:r>
      <w:r w:rsidR="00245F4C">
        <w:rPr>
          <w:color w:val="000000" w:themeColor="text1"/>
        </w:rPr>
        <w:t>İkinci öğretim olması durumunda 10</w:t>
      </w:r>
      <w:r w:rsidR="00A23861">
        <w:rPr>
          <w:color w:val="000000" w:themeColor="text1"/>
        </w:rPr>
        <w:t xml:space="preserve"> (on)</w:t>
      </w:r>
      <w:r w:rsidR="00245F4C">
        <w:rPr>
          <w:color w:val="000000" w:themeColor="text1"/>
        </w:rPr>
        <w:t xml:space="preserve"> saat ders yükü </w:t>
      </w:r>
      <w:r w:rsidR="00F2427A">
        <w:rPr>
          <w:color w:val="000000" w:themeColor="text1"/>
        </w:rPr>
        <w:t xml:space="preserve">daha </w:t>
      </w:r>
      <w:r w:rsidR="00245F4C">
        <w:rPr>
          <w:color w:val="000000" w:themeColor="text1"/>
        </w:rPr>
        <w:t xml:space="preserve">eklenebilir. </w:t>
      </w:r>
      <w:r w:rsidR="00281C4E" w:rsidRPr="00DF58DF">
        <w:rPr>
          <w:color w:val="000000" w:themeColor="text1"/>
        </w:rPr>
        <w:t>Atandığı</w:t>
      </w:r>
      <w:r w:rsidR="00BE40EA" w:rsidRPr="00DF58DF">
        <w:rPr>
          <w:color w:val="000000" w:themeColor="text1"/>
        </w:rPr>
        <w:t xml:space="preserve"> akademik ve idari kadronun karşılığı olan </w:t>
      </w:r>
      <w:r w:rsidR="00D3153C" w:rsidRPr="00DF58DF">
        <w:rPr>
          <w:color w:val="000000" w:themeColor="text1"/>
        </w:rPr>
        <w:t>haftalık</w:t>
      </w:r>
      <w:r w:rsidR="00D3153C" w:rsidRPr="00DF58DF">
        <w:rPr>
          <w:b/>
          <w:bCs/>
          <w:color w:val="000000" w:themeColor="text1"/>
        </w:rPr>
        <w:t xml:space="preserve"> </w:t>
      </w:r>
      <w:r w:rsidR="00D3153C" w:rsidRPr="00DF58DF">
        <w:rPr>
          <w:color w:val="000000" w:themeColor="text1"/>
        </w:rPr>
        <w:t>ders</w:t>
      </w:r>
      <w:r w:rsidR="002F147F" w:rsidRPr="00DF58DF">
        <w:rPr>
          <w:color w:val="000000" w:themeColor="text1"/>
        </w:rPr>
        <w:t xml:space="preserve"> yükünü aşan (</w:t>
      </w:r>
      <w:r w:rsidR="0004041F" w:rsidRPr="00056989">
        <w:rPr>
          <w:color w:val="000000" w:themeColor="text1"/>
        </w:rPr>
        <w:t>p</w:t>
      </w:r>
      <w:r w:rsidR="00150282" w:rsidRPr="00056989">
        <w:rPr>
          <w:color w:val="000000" w:themeColor="text1"/>
        </w:rPr>
        <w:t xml:space="preserve">rofesör, doçent ve doktor öğretim üyesi için 10 </w:t>
      </w:r>
      <w:r w:rsidR="00D3153C" w:rsidRPr="00056989">
        <w:rPr>
          <w:color w:val="000000" w:themeColor="text1"/>
        </w:rPr>
        <w:t>saat</w:t>
      </w:r>
      <w:r w:rsidR="002D607C" w:rsidRPr="00056989">
        <w:rPr>
          <w:color w:val="000000" w:themeColor="text1"/>
        </w:rPr>
        <w:t>, öğretim görevlisi</w:t>
      </w:r>
      <w:r w:rsidR="00FC019D" w:rsidRPr="00056989">
        <w:rPr>
          <w:color w:val="000000" w:themeColor="text1"/>
        </w:rPr>
        <w:t xml:space="preserve"> ve okutmanlar</w:t>
      </w:r>
      <w:r w:rsidR="002D607C" w:rsidRPr="00056989">
        <w:rPr>
          <w:color w:val="000000" w:themeColor="text1"/>
        </w:rPr>
        <w:t xml:space="preserve"> için </w:t>
      </w:r>
      <w:r w:rsidR="00150282" w:rsidRPr="00056989">
        <w:rPr>
          <w:color w:val="000000" w:themeColor="text1"/>
        </w:rPr>
        <w:t>12 saat</w:t>
      </w:r>
      <w:r w:rsidR="00D3153C" w:rsidRPr="00056989">
        <w:rPr>
          <w:color w:val="000000" w:themeColor="text1"/>
        </w:rPr>
        <w:t>) öğretim</w:t>
      </w:r>
      <w:r w:rsidR="002F147F" w:rsidRPr="00056989">
        <w:rPr>
          <w:color w:val="000000" w:themeColor="text1"/>
        </w:rPr>
        <w:t xml:space="preserve"> elemanlarına e</w:t>
      </w:r>
      <w:r w:rsidRPr="00056989">
        <w:rPr>
          <w:color w:val="000000" w:themeColor="text1"/>
        </w:rPr>
        <w:t>k ders ücreti</w:t>
      </w:r>
      <w:r w:rsidR="00F2427A" w:rsidRPr="00056989">
        <w:rPr>
          <w:color w:val="000000" w:themeColor="text1"/>
        </w:rPr>
        <w:t>,</w:t>
      </w:r>
      <w:r w:rsidRPr="00056989">
        <w:rPr>
          <w:color w:val="000000" w:themeColor="text1"/>
        </w:rPr>
        <w:t xml:space="preserve"> ders saati başına ödenir. </w:t>
      </w:r>
      <w:r w:rsidR="009267D2" w:rsidRPr="00056989">
        <w:rPr>
          <w:color w:val="000000" w:themeColor="text1"/>
        </w:rPr>
        <w:t>Bir ö</w:t>
      </w:r>
      <w:r w:rsidRPr="00056989">
        <w:rPr>
          <w:color w:val="000000" w:themeColor="text1"/>
        </w:rPr>
        <w:t xml:space="preserve">ğretim elemanına </w:t>
      </w:r>
      <w:r w:rsidR="009267D2" w:rsidRPr="00056989">
        <w:rPr>
          <w:color w:val="000000" w:themeColor="text1"/>
        </w:rPr>
        <w:t>lisans ve lisansüstü</w:t>
      </w:r>
      <w:r w:rsidR="009267D2" w:rsidRPr="00DF58DF">
        <w:rPr>
          <w:color w:val="000000" w:themeColor="text1"/>
        </w:rPr>
        <w:t xml:space="preserve"> dersler (tezler ve projeler ders yükünden sayılır) d</w:t>
      </w:r>
      <w:r w:rsidR="0036074B">
        <w:rPr>
          <w:color w:val="000000" w:themeColor="text1"/>
        </w:rPr>
        <w:t>â</w:t>
      </w:r>
      <w:r w:rsidR="009267D2" w:rsidRPr="00DF58DF">
        <w:rPr>
          <w:color w:val="000000" w:themeColor="text1"/>
        </w:rPr>
        <w:t>hil olmak üzere en fazla 2</w:t>
      </w:r>
      <w:r w:rsidR="002F147F" w:rsidRPr="00DF58DF">
        <w:rPr>
          <w:color w:val="000000" w:themeColor="text1"/>
        </w:rPr>
        <w:t xml:space="preserve">0 </w:t>
      </w:r>
      <w:r w:rsidR="00331689">
        <w:rPr>
          <w:color w:val="000000" w:themeColor="text1"/>
        </w:rPr>
        <w:t xml:space="preserve">(yirmi) </w:t>
      </w:r>
      <w:r w:rsidRPr="00DF58DF">
        <w:rPr>
          <w:color w:val="000000" w:themeColor="text1"/>
        </w:rPr>
        <w:t>saate kadar ek ders saati ücreti ödenir.</w:t>
      </w:r>
      <w:r w:rsidR="00FA34B8">
        <w:rPr>
          <w:color w:val="000000" w:themeColor="text1"/>
        </w:rPr>
        <w:t xml:space="preserve"> </w:t>
      </w:r>
    </w:p>
    <w:p w14:paraId="7B5C0069" w14:textId="445D1302" w:rsidR="006E1715" w:rsidRPr="00056989" w:rsidRDefault="00281C4E" w:rsidP="00343ACB">
      <w:pPr>
        <w:spacing w:after="240"/>
        <w:jc w:val="both"/>
        <w:rPr>
          <w:color w:val="000000" w:themeColor="text1"/>
        </w:rPr>
      </w:pPr>
      <w:r w:rsidRPr="00056989">
        <w:rPr>
          <w:color w:val="000000" w:themeColor="text1"/>
        </w:rPr>
        <w:t xml:space="preserve">(2) </w:t>
      </w:r>
      <w:r w:rsidR="00ED7F40" w:rsidRPr="00056989">
        <w:rPr>
          <w:color w:val="000000" w:themeColor="text1"/>
        </w:rPr>
        <w:t>İdari görevler</w:t>
      </w:r>
      <w:r w:rsidR="00D329B2" w:rsidRPr="00056989">
        <w:rPr>
          <w:color w:val="000000" w:themeColor="text1"/>
        </w:rPr>
        <w:t xml:space="preserve">i </w:t>
      </w:r>
      <w:r w:rsidR="00245F4C" w:rsidRPr="00056989">
        <w:rPr>
          <w:color w:val="000000" w:themeColor="text1"/>
        </w:rPr>
        <w:t xml:space="preserve">olan öğretim elemanları için </w:t>
      </w:r>
      <w:r w:rsidR="003B3493" w:rsidRPr="00056989">
        <w:rPr>
          <w:color w:val="000000" w:themeColor="text1"/>
        </w:rPr>
        <w:t>ders yükleri</w:t>
      </w:r>
      <w:r w:rsidR="00E011E9">
        <w:rPr>
          <w:color w:val="000000" w:themeColor="text1"/>
        </w:rPr>
        <w:t>,</w:t>
      </w:r>
      <w:r w:rsidR="00D329B2" w:rsidRPr="00056989">
        <w:rPr>
          <w:color w:val="000000" w:themeColor="text1"/>
        </w:rPr>
        <w:t xml:space="preserve"> </w:t>
      </w:r>
      <w:r w:rsidR="009F1544" w:rsidRPr="00056989">
        <w:rPr>
          <w:color w:val="000000" w:themeColor="text1"/>
        </w:rPr>
        <w:t>YÖK tarafından tanımlanan</w:t>
      </w:r>
      <w:r w:rsidR="009F1544">
        <w:rPr>
          <w:color w:val="000000" w:themeColor="text1"/>
        </w:rPr>
        <w:t xml:space="preserve"> ilkeler</w:t>
      </w:r>
      <w:r w:rsidR="009F1544" w:rsidRPr="00056989">
        <w:rPr>
          <w:color w:val="000000" w:themeColor="text1"/>
        </w:rPr>
        <w:t xml:space="preserve"> </w:t>
      </w:r>
      <w:r w:rsidR="00D329B2" w:rsidRPr="00056989">
        <w:rPr>
          <w:color w:val="000000" w:themeColor="text1"/>
        </w:rPr>
        <w:t xml:space="preserve">dikkate </w:t>
      </w:r>
      <w:r w:rsidR="00245F4C" w:rsidRPr="00056989">
        <w:rPr>
          <w:color w:val="000000" w:themeColor="text1"/>
        </w:rPr>
        <w:t>alın</w:t>
      </w:r>
      <w:r w:rsidR="009F1544">
        <w:rPr>
          <w:color w:val="000000" w:themeColor="text1"/>
        </w:rPr>
        <w:t>arak</w:t>
      </w:r>
      <w:r w:rsidR="00EF5B20">
        <w:rPr>
          <w:color w:val="000000" w:themeColor="text1"/>
        </w:rPr>
        <w:t xml:space="preserve"> belirlenir</w:t>
      </w:r>
    </w:p>
    <w:p w14:paraId="4F189DF5" w14:textId="26CEE241" w:rsidR="00B61CE8" w:rsidRPr="00056989" w:rsidRDefault="00B61CE8" w:rsidP="00B61CE8">
      <w:pPr>
        <w:spacing w:after="240"/>
        <w:jc w:val="both"/>
        <w:rPr>
          <w:color w:val="000000" w:themeColor="text1"/>
        </w:rPr>
      </w:pPr>
      <w:r w:rsidRPr="00056989">
        <w:rPr>
          <w:color w:val="000000" w:themeColor="text1"/>
        </w:rPr>
        <w:t xml:space="preserve">(3) Esnek </w:t>
      </w:r>
      <w:r w:rsidR="003D0DEA" w:rsidRPr="00056989">
        <w:rPr>
          <w:color w:val="000000" w:themeColor="text1"/>
        </w:rPr>
        <w:t>zamanlı</w:t>
      </w:r>
      <w:r w:rsidRPr="00056989">
        <w:rPr>
          <w:color w:val="000000" w:themeColor="text1"/>
        </w:rPr>
        <w:t xml:space="preserve"> </w:t>
      </w:r>
      <w:r w:rsidR="00E2203E" w:rsidRPr="00056989">
        <w:rPr>
          <w:color w:val="000000" w:themeColor="text1"/>
        </w:rPr>
        <w:t xml:space="preserve">çalışan </w:t>
      </w:r>
      <w:r w:rsidR="005841FA">
        <w:rPr>
          <w:color w:val="000000" w:themeColor="text1"/>
        </w:rPr>
        <w:t xml:space="preserve">öğretim elemanlarına </w:t>
      </w:r>
      <w:r w:rsidRPr="00056989">
        <w:rPr>
          <w:color w:val="000000" w:themeColor="text1"/>
        </w:rPr>
        <w:t>ek ders ücreti öde</w:t>
      </w:r>
      <w:r w:rsidR="005841FA">
        <w:rPr>
          <w:color w:val="000000" w:themeColor="text1"/>
        </w:rPr>
        <w:t>n</w:t>
      </w:r>
      <w:r w:rsidRPr="00056989">
        <w:rPr>
          <w:color w:val="000000" w:themeColor="text1"/>
        </w:rPr>
        <w:t>mesinde</w:t>
      </w:r>
      <w:r w:rsidR="00331689">
        <w:rPr>
          <w:color w:val="000000" w:themeColor="text1"/>
        </w:rPr>
        <w:t>,</w:t>
      </w:r>
      <w:r w:rsidRPr="00056989">
        <w:rPr>
          <w:color w:val="000000" w:themeColor="text1"/>
        </w:rPr>
        <w:t xml:space="preserve"> kendileri için tanımlana</w:t>
      </w:r>
      <w:r w:rsidR="001B24E9" w:rsidRPr="00056989">
        <w:rPr>
          <w:color w:val="000000" w:themeColor="text1"/>
        </w:rPr>
        <w:t>n ders yükleri dikkate alınır.</w:t>
      </w:r>
    </w:p>
    <w:p w14:paraId="5506F166" w14:textId="25579860" w:rsidR="00F260B9" w:rsidRDefault="003B3493" w:rsidP="00B61CE8">
      <w:pPr>
        <w:spacing w:after="240"/>
        <w:jc w:val="both"/>
        <w:rPr>
          <w:color w:val="000000" w:themeColor="text1"/>
        </w:rPr>
      </w:pPr>
      <w:r w:rsidRPr="00704659">
        <w:rPr>
          <w:color w:val="000000" w:themeColor="text1"/>
        </w:rPr>
        <w:t>(</w:t>
      </w:r>
      <w:r w:rsidR="00B61CE8" w:rsidRPr="00704659">
        <w:rPr>
          <w:color w:val="000000" w:themeColor="text1"/>
        </w:rPr>
        <w:t>4</w:t>
      </w:r>
      <w:r w:rsidRPr="00704659">
        <w:rPr>
          <w:color w:val="000000" w:themeColor="text1"/>
        </w:rPr>
        <w:t xml:space="preserve">) Yaz </w:t>
      </w:r>
      <w:r w:rsidR="006B3785">
        <w:rPr>
          <w:color w:val="000000" w:themeColor="text1"/>
        </w:rPr>
        <w:t>döneminde</w:t>
      </w:r>
      <w:r w:rsidRPr="00704659">
        <w:rPr>
          <w:color w:val="000000" w:themeColor="text1"/>
        </w:rPr>
        <w:t xml:space="preserve"> yapılan eğitim-öğretim faaliyetleri için ödenecek</w:t>
      </w:r>
      <w:r w:rsidR="001E05C3" w:rsidRPr="00704659">
        <w:rPr>
          <w:color w:val="000000" w:themeColor="text1"/>
        </w:rPr>
        <w:t xml:space="preserve"> ek ders ücretinin tespitinde, haftalık ders yükünü doldurmuş olma koşulu aranmaz. </w:t>
      </w:r>
    </w:p>
    <w:p w14:paraId="5550A75C" w14:textId="4DB70D17" w:rsidR="00CC1594" w:rsidRDefault="00056989" w:rsidP="00CC1594">
      <w:pPr>
        <w:spacing w:after="240"/>
        <w:jc w:val="both"/>
      </w:pPr>
      <w:r w:rsidRPr="00056989">
        <w:rPr>
          <w:color w:val="000000" w:themeColor="text1"/>
        </w:rPr>
        <w:t>(5</w:t>
      </w:r>
      <w:r w:rsidR="00E0756E" w:rsidRPr="00056989">
        <w:rPr>
          <w:color w:val="000000" w:themeColor="text1"/>
        </w:rPr>
        <w:t xml:space="preserve">) </w:t>
      </w:r>
      <w:r w:rsidR="00CC1594" w:rsidRPr="00CC1594">
        <w:t xml:space="preserve">Ek ders ücretleri, </w:t>
      </w:r>
      <w:r w:rsidR="00CC1594">
        <w:t xml:space="preserve">enstitülerde </w:t>
      </w:r>
      <w:r w:rsidR="00CC1594" w:rsidRPr="00CC1594">
        <w:t xml:space="preserve">lisansüstü dersler için </w:t>
      </w:r>
      <w:r w:rsidR="00CC1594">
        <w:t>tanımlanmış</w:t>
      </w:r>
      <w:r w:rsidR="00CC1594" w:rsidRPr="00CC1594">
        <w:t xml:space="preserve"> ilke ve esas</w:t>
      </w:r>
      <w:r w:rsidR="00CC1594">
        <w:t>lara</w:t>
      </w:r>
      <w:r w:rsidR="00CC1594" w:rsidRPr="00CC1594">
        <w:t xml:space="preserve"> göre belirlenir.</w:t>
      </w:r>
    </w:p>
    <w:p w14:paraId="66DB746A" w14:textId="75F1517F" w:rsidR="009929F4" w:rsidRPr="009929F4" w:rsidRDefault="009929F4" w:rsidP="00CC1594">
      <w:pPr>
        <w:spacing w:after="240"/>
        <w:jc w:val="both"/>
        <w:rPr>
          <w:b/>
        </w:rPr>
      </w:pPr>
      <w:r>
        <w:rPr>
          <w:b/>
        </w:rPr>
        <w:t>Ek</w:t>
      </w:r>
      <w:r w:rsidRPr="009929F4">
        <w:rPr>
          <w:b/>
        </w:rPr>
        <w:t xml:space="preserve"> Destekler</w:t>
      </w:r>
    </w:p>
    <w:p w14:paraId="7F130E06" w14:textId="46FD7527" w:rsidR="009929F4" w:rsidRDefault="009929F4" w:rsidP="00CC1594">
      <w:pPr>
        <w:spacing w:after="240"/>
        <w:jc w:val="both"/>
      </w:pPr>
      <w:r w:rsidRPr="00AC28F1">
        <w:rPr>
          <w:b/>
        </w:rPr>
        <w:t xml:space="preserve">Madde </w:t>
      </w:r>
      <w:r w:rsidR="00D979B2" w:rsidRPr="00AC28F1">
        <w:rPr>
          <w:b/>
        </w:rPr>
        <w:t>1</w:t>
      </w:r>
      <w:r w:rsidR="00D979B2">
        <w:rPr>
          <w:b/>
        </w:rPr>
        <w:t>0</w:t>
      </w:r>
      <w:r w:rsidR="00D979B2" w:rsidRPr="00AC28F1">
        <w:rPr>
          <w:b/>
        </w:rPr>
        <w:t xml:space="preserve"> </w:t>
      </w:r>
      <w:r w:rsidRPr="00AC28F1">
        <w:rPr>
          <w:b/>
        </w:rPr>
        <w:t>–</w:t>
      </w:r>
      <w:r>
        <w:t xml:space="preserve"> Başkent Üniversitesinde tam zamanlı ve esnek zamanlı çalışan öğretim elemanları Rektörlük Makamının belirlediği oranlarda indirimli olarak ek desteklerden faydalanır.</w:t>
      </w:r>
    </w:p>
    <w:p w14:paraId="2B82FC66" w14:textId="4ABB9CBB" w:rsidR="00703C27" w:rsidRDefault="009929F4" w:rsidP="00871786">
      <w:pPr>
        <w:pStyle w:val="ListeParagraf"/>
        <w:numPr>
          <w:ilvl w:val="0"/>
          <w:numId w:val="19"/>
        </w:numPr>
      </w:pPr>
      <w:r>
        <w:t>Başkent Üniversitesi bünyesinde yer alan sağlık kuruluşları,</w:t>
      </w:r>
      <w:r w:rsidR="00331689">
        <w:t xml:space="preserve"> </w:t>
      </w:r>
    </w:p>
    <w:p w14:paraId="2B9BBC5B" w14:textId="58354987" w:rsidR="00E34552" w:rsidRDefault="00331689" w:rsidP="00871786">
      <w:pPr>
        <w:ind w:left="360"/>
        <w:jc w:val="both"/>
      </w:pPr>
      <w:r>
        <w:t>(2)</w:t>
      </w:r>
      <w:r w:rsidR="00D979B2">
        <w:t xml:space="preserve"> </w:t>
      </w:r>
      <w:r w:rsidR="00E34552">
        <w:t xml:space="preserve">Personelin kendisi ve çocuğu için </w:t>
      </w:r>
      <w:r w:rsidR="008A6665">
        <w:t xml:space="preserve">Başkent Üniversitesinde </w:t>
      </w:r>
      <w:r w:rsidR="00E34552">
        <w:t>lisans ve lisansüstü eğitim</w:t>
      </w:r>
      <w:r>
        <w:t>i</w:t>
      </w:r>
      <w:r w:rsidR="00EF5B20">
        <w:t>,</w:t>
      </w:r>
    </w:p>
    <w:p w14:paraId="1B1BA741" w14:textId="45C825A0" w:rsidR="00705A78" w:rsidRPr="00CC1594" w:rsidRDefault="00331689" w:rsidP="00871786">
      <w:pPr>
        <w:ind w:left="360"/>
        <w:jc w:val="both"/>
      </w:pPr>
      <w:r>
        <w:t>(3)</w:t>
      </w:r>
      <w:r w:rsidR="00D979B2">
        <w:t xml:space="preserve"> </w:t>
      </w:r>
      <w:r w:rsidR="00705A78">
        <w:t>Ulaşım ve yemek,</w:t>
      </w:r>
    </w:p>
    <w:p w14:paraId="118A4E68" w14:textId="41F06F0C" w:rsidR="009929F4" w:rsidRDefault="00331689" w:rsidP="00871786">
      <w:pPr>
        <w:ind w:left="360"/>
        <w:jc w:val="both"/>
      </w:pPr>
      <w:r>
        <w:t>(4)</w:t>
      </w:r>
      <w:r w:rsidR="00D979B2">
        <w:t xml:space="preserve"> </w:t>
      </w:r>
      <w:r w:rsidR="009929F4">
        <w:t xml:space="preserve">Uygulama otelleri (Kızılcahamam Patalya </w:t>
      </w:r>
      <w:proofErr w:type="spellStart"/>
      <w:r w:rsidR="009929F4">
        <w:t>Thermal</w:t>
      </w:r>
      <w:proofErr w:type="spellEnd"/>
      <w:r w:rsidR="009929F4">
        <w:t xml:space="preserve"> Otel, Gölbaşı Patalya </w:t>
      </w:r>
      <w:proofErr w:type="spellStart"/>
      <w:r w:rsidR="009929F4">
        <w:t>Lakeside</w:t>
      </w:r>
      <w:proofErr w:type="spellEnd"/>
      <w:r w:rsidR="009929F4">
        <w:t xml:space="preserve"> </w:t>
      </w:r>
      <w:proofErr w:type="spellStart"/>
      <w:r w:rsidR="009929F4">
        <w:t>Resort</w:t>
      </w:r>
      <w:proofErr w:type="spellEnd"/>
      <w:r w:rsidR="009929F4">
        <w:t xml:space="preserve"> Otel),</w:t>
      </w:r>
    </w:p>
    <w:p w14:paraId="2F86D34A" w14:textId="21696AB1" w:rsidR="00E34552" w:rsidRDefault="00331689" w:rsidP="00871786">
      <w:pPr>
        <w:ind w:left="360"/>
        <w:jc w:val="both"/>
      </w:pPr>
      <w:r>
        <w:lastRenderedPageBreak/>
        <w:t>(5)</w:t>
      </w:r>
      <w:r w:rsidR="00D979B2">
        <w:t xml:space="preserve"> </w:t>
      </w:r>
      <w:r w:rsidR="00E34552">
        <w:t>Sosyal tesisler (Kocaali Sosyal Tesisleri)</w:t>
      </w:r>
    </w:p>
    <w:p w14:paraId="7F4A95EB" w14:textId="7F6DABBE" w:rsidR="009929F4" w:rsidRDefault="00331689" w:rsidP="00871786">
      <w:pPr>
        <w:ind w:left="360"/>
        <w:jc w:val="both"/>
      </w:pPr>
      <w:r>
        <w:t>(6)</w:t>
      </w:r>
      <w:r w:rsidR="00D979B2">
        <w:t xml:space="preserve"> </w:t>
      </w:r>
      <w:r w:rsidR="009929F4">
        <w:t xml:space="preserve">Eğitim kurumları (Kolej </w:t>
      </w:r>
      <w:proofErr w:type="spellStart"/>
      <w:r w:rsidR="009929F4">
        <w:t>Ayşeabla</w:t>
      </w:r>
      <w:proofErr w:type="spellEnd"/>
      <w:r w:rsidR="009929F4">
        <w:t xml:space="preserve"> Okulları, Başkent Üniversitesi Adana Okulları, Başkent Üniversitesi İskenderun Okulları),</w:t>
      </w:r>
    </w:p>
    <w:p w14:paraId="63FCFBF8" w14:textId="3CC86929" w:rsidR="009929F4" w:rsidRDefault="00331689" w:rsidP="00871786">
      <w:pPr>
        <w:ind w:left="360"/>
        <w:jc w:val="both"/>
      </w:pPr>
      <w:r>
        <w:t>(7)</w:t>
      </w:r>
      <w:r w:rsidR="00D979B2">
        <w:t xml:space="preserve"> </w:t>
      </w:r>
      <w:r w:rsidR="008A6665">
        <w:t>An</w:t>
      </w:r>
      <w:r w:rsidR="00DC6722">
        <w:t>laşmalı okul öncesi kurumlar</w:t>
      </w:r>
      <w:r w:rsidR="008A6665">
        <w:t>,</w:t>
      </w:r>
    </w:p>
    <w:p w14:paraId="5D7E7A75" w14:textId="232390FE" w:rsidR="0058360F" w:rsidRDefault="00331689" w:rsidP="0058360F">
      <w:pPr>
        <w:ind w:left="360"/>
        <w:jc w:val="both"/>
      </w:pPr>
      <w:r>
        <w:t>(8)</w:t>
      </w:r>
      <w:r w:rsidR="00D979B2">
        <w:t xml:space="preserve"> </w:t>
      </w:r>
      <w:proofErr w:type="spellStart"/>
      <w:r w:rsidR="00DC6722">
        <w:t>Açkar</w:t>
      </w:r>
      <w:proofErr w:type="spellEnd"/>
      <w:r w:rsidR="00DC6722">
        <w:t xml:space="preserve"> Süt Ü</w:t>
      </w:r>
      <w:r w:rsidR="00705A78">
        <w:t>rünleri.</w:t>
      </w:r>
    </w:p>
    <w:p w14:paraId="267E2C41" w14:textId="77777777" w:rsidR="0058360F" w:rsidRPr="0058360F" w:rsidRDefault="0058360F" w:rsidP="0058360F">
      <w:pPr>
        <w:ind w:left="360"/>
        <w:jc w:val="both"/>
      </w:pPr>
    </w:p>
    <w:p w14:paraId="33500C38" w14:textId="7DEF3984" w:rsidR="006E1715" w:rsidRDefault="006E1715" w:rsidP="00703C27">
      <w:pPr>
        <w:spacing w:after="240"/>
        <w:jc w:val="both"/>
        <w:rPr>
          <w:b/>
          <w:bCs/>
          <w:color w:val="000000" w:themeColor="text1"/>
        </w:rPr>
      </w:pPr>
      <w:r w:rsidRPr="006E1715">
        <w:rPr>
          <w:b/>
          <w:bCs/>
          <w:color w:val="000000" w:themeColor="text1"/>
        </w:rPr>
        <w:t>Yürürlük</w:t>
      </w:r>
    </w:p>
    <w:p w14:paraId="7AAAC881" w14:textId="42049CA3" w:rsidR="006E1715" w:rsidRPr="006E1715" w:rsidRDefault="006E1715" w:rsidP="00343ACB">
      <w:pPr>
        <w:spacing w:after="2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Madde </w:t>
      </w:r>
      <w:r w:rsidR="00D979B2">
        <w:rPr>
          <w:b/>
          <w:bCs/>
          <w:color w:val="000000" w:themeColor="text1"/>
        </w:rPr>
        <w:t>11</w:t>
      </w:r>
      <w:r w:rsidR="003A18C5">
        <w:rPr>
          <w:b/>
          <w:bCs/>
          <w:color w:val="000000" w:themeColor="text1"/>
        </w:rPr>
        <w:t xml:space="preserve">- </w:t>
      </w:r>
      <w:r w:rsidRPr="00854367">
        <w:rPr>
          <w:color w:val="000000" w:themeColor="text1"/>
        </w:rPr>
        <w:t xml:space="preserve">Bu </w:t>
      </w:r>
      <w:r w:rsidR="00F2427A">
        <w:rPr>
          <w:color w:val="000000" w:themeColor="text1"/>
        </w:rPr>
        <w:t>Y</w:t>
      </w:r>
      <w:r w:rsidRPr="00854367">
        <w:rPr>
          <w:color w:val="000000" w:themeColor="text1"/>
        </w:rPr>
        <w:t xml:space="preserve">önerge </w:t>
      </w:r>
      <w:r>
        <w:rPr>
          <w:color w:val="000000" w:themeColor="text1"/>
        </w:rPr>
        <w:t xml:space="preserve">Başkent </w:t>
      </w:r>
      <w:r w:rsidRPr="00854367">
        <w:rPr>
          <w:color w:val="000000" w:themeColor="text1"/>
        </w:rPr>
        <w:t>Üniversite</w:t>
      </w:r>
      <w:r>
        <w:rPr>
          <w:color w:val="000000" w:themeColor="text1"/>
        </w:rPr>
        <w:t>si</w:t>
      </w:r>
      <w:r w:rsidRPr="00854367">
        <w:rPr>
          <w:color w:val="000000" w:themeColor="text1"/>
        </w:rPr>
        <w:t xml:space="preserve"> </w:t>
      </w:r>
      <w:r w:rsidR="00237813">
        <w:rPr>
          <w:color w:val="000000" w:themeColor="text1"/>
        </w:rPr>
        <w:t>Rektörünün onayı ile yürürlüğe girer.</w:t>
      </w:r>
    </w:p>
    <w:p w14:paraId="760031DE" w14:textId="1CF1E75C" w:rsidR="006E1715" w:rsidRDefault="006E1715" w:rsidP="00343ACB">
      <w:pPr>
        <w:spacing w:after="2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Yürütme </w:t>
      </w:r>
    </w:p>
    <w:p w14:paraId="798EA7AB" w14:textId="40EDBA76" w:rsidR="00BD25AD" w:rsidRDefault="006E1715" w:rsidP="002C56DB">
      <w:pPr>
        <w:spacing w:after="240"/>
        <w:jc w:val="both"/>
        <w:rPr>
          <w:color w:val="000000" w:themeColor="text1"/>
        </w:rPr>
      </w:pPr>
      <w:r w:rsidRPr="00854367">
        <w:rPr>
          <w:b/>
          <w:bCs/>
          <w:color w:val="000000" w:themeColor="text1"/>
        </w:rPr>
        <w:t>Madde</w:t>
      </w:r>
      <w:r>
        <w:rPr>
          <w:b/>
          <w:bCs/>
          <w:color w:val="000000" w:themeColor="text1"/>
        </w:rPr>
        <w:t xml:space="preserve"> </w:t>
      </w:r>
      <w:r w:rsidR="00D979B2">
        <w:rPr>
          <w:b/>
          <w:bCs/>
          <w:color w:val="000000" w:themeColor="text1"/>
        </w:rPr>
        <w:t>12</w:t>
      </w:r>
      <w:r w:rsidR="00F2427A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 xml:space="preserve"> </w:t>
      </w:r>
      <w:r w:rsidRPr="00854367">
        <w:rPr>
          <w:color w:val="000000" w:themeColor="text1"/>
        </w:rPr>
        <w:t xml:space="preserve">Bu </w:t>
      </w:r>
      <w:r w:rsidR="00F2427A">
        <w:rPr>
          <w:color w:val="000000" w:themeColor="text1"/>
        </w:rPr>
        <w:t>Y</w:t>
      </w:r>
      <w:r w:rsidRPr="00854367">
        <w:rPr>
          <w:color w:val="000000" w:themeColor="text1"/>
        </w:rPr>
        <w:t xml:space="preserve">önergeyi </w:t>
      </w:r>
      <w:r>
        <w:rPr>
          <w:color w:val="000000" w:themeColor="text1"/>
        </w:rPr>
        <w:t xml:space="preserve">Başkent Üniversitesi </w:t>
      </w:r>
      <w:r w:rsidRPr="00854367">
        <w:rPr>
          <w:color w:val="000000" w:themeColor="text1"/>
        </w:rPr>
        <w:t>Rektör</w:t>
      </w:r>
      <w:r w:rsidR="003A18C5">
        <w:rPr>
          <w:color w:val="000000" w:themeColor="text1"/>
        </w:rPr>
        <w:t>ü</w:t>
      </w:r>
      <w:r w:rsidRPr="00854367">
        <w:rPr>
          <w:color w:val="000000" w:themeColor="text1"/>
        </w:rPr>
        <w:t xml:space="preserve"> yürütür.</w:t>
      </w:r>
    </w:p>
    <w:p w14:paraId="7B1705A6" w14:textId="3181AD7B" w:rsidR="00237813" w:rsidRPr="00456208" w:rsidRDefault="00237813" w:rsidP="002C56DB">
      <w:pPr>
        <w:spacing w:after="240"/>
        <w:jc w:val="both"/>
        <w:rPr>
          <w:color w:val="000000" w:themeColor="text1"/>
        </w:rPr>
      </w:pPr>
      <w:r w:rsidRPr="00456208">
        <w:rPr>
          <w:b/>
          <w:color w:val="000000" w:themeColor="text1"/>
        </w:rPr>
        <w:t xml:space="preserve">Geçici Madde 1 – </w:t>
      </w:r>
      <w:r w:rsidRPr="00456208">
        <w:rPr>
          <w:color w:val="000000" w:themeColor="text1"/>
        </w:rPr>
        <w:t xml:space="preserve">Performans değerlendirmelerinin ücrete yansıtılması, </w:t>
      </w:r>
      <w:r w:rsidR="00AF451D" w:rsidRPr="00456208">
        <w:rPr>
          <w:color w:val="000000" w:themeColor="text1"/>
        </w:rPr>
        <w:t xml:space="preserve">01 Ekim 2022 </w:t>
      </w:r>
      <w:r w:rsidRPr="00456208">
        <w:rPr>
          <w:color w:val="000000" w:themeColor="text1"/>
        </w:rPr>
        <w:t>tarihinde yürü</w:t>
      </w:r>
      <w:r w:rsidR="00AF451D" w:rsidRPr="00456208">
        <w:rPr>
          <w:color w:val="000000" w:themeColor="text1"/>
        </w:rPr>
        <w:t>r</w:t>
      </w:r>
      <w:r w:rsidRPr="00456208">
        <w:rPr>
          <w:color w:val="000000" w:themeColor="text1"/>
        </w:rPr>
        <w:t>lüğe giren Öğ</w:t>
      </w:r>
      <w:r w:rsidR="00AF451D" w:rsidRPr="00456208">
        <w:rPr>
          <w:color w:val="000000" w:themeColor="text1"/>
        </w:rPr>
        <w:t>retim Elemanı Atama, Yükseltme v</w:t>
      </w:r>
      <w:r w:rsidRPr="00456208">
        <w:rPr>
          <w:color w:val="000000" w:themeColor="text1"/>
        </w:rPr>
        <w:t xml:space="preserve">e Performans Ölçütleri Yönergesi </w:t>
      </w:r>
      <w:proofErr w:type="gramStart"/>
      <w:r w:rsidRPr="00456208">
        <w:rPr>
          <w:color w:val="000000" w:themeColor="text1"/>
        </w:rPr>
        <w:t>kriterleri</w:t>
      </w:r>
      <w:proofErr w:type="gramEnd"/>
      <w:r w:rsidRPr="00456208">
        <w:rPr>
          <w:color w:val="000000" w:themeColor="text1"/>
        </w:rPr>
        <w:t xml:space="preserve"> dikkate alınarak 2022-2023 performans dönemini takiben </w:t>
      </w:r>
      <w:r w:rsidR="002F389B" w:rsidRPr="00456208">
        <w:rPr>
          <w:color w:val="000000" w:themeColor="text1"/>
        </w:rPr>
        <w:t>yürürlüğe girer.</w:t>
      </w:r>
    </w:p>
    <w:sectPr w:rsidR="00237813" w:rsidRPr="00456208" w:rsidSect="000F3241">
      <w:footerReference w:type="default" r:id="rId8"/>
      <w:pgSz w:w="11906" w:h="16838"/>
      <w:pgMar w:top="122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54DB0" w14:textId="77777777" w:rsidR="00C83C4D" w:rsidRDefault="00C83C4D" w:rsidP="007F38DC">
      <w:r>
        <w:separator/>
      </w:r>
    </w:p>
  </w:endnote>
  <w:endnote w:type="continuationSeparator" w:id="0">
    <w:p w14:paraId="0AE72D61" w14:textId="77777777" w:rsidR="00C83C4D" w:rsidRDefault="00C83C4D" w:rsidP="007F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altName w:val="﷽﷽﷽﷽﷽﷽﷽﷽Ƚﶠ짾翀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444606"/>
      <w:docPartObj>
        <w:docPartGallery w:val="Page Numbers (Bottom of Page)"/>
        <w:docPartUnique/>
      </w:docPartObj>
    </w:sdtPr>
    <w:sdtEndPr/>
    <w:sdtContent>
      <w:p w14:paraId="055B1095" w14:textId="724550AA" w:rsidR="006A008E" w:rsidRDefault="006A008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0AA">
          <w:rPr>
            <w:noProof/>
          </w:rPr>
          <w:t>4</w:t>
        </w:r>
        <w:r>
          <w:fldChar w:fldCharType="end"/>
        </w:r>
      </w:p>
    </w:sdtContent>
  </w:sdt>
  <w:p w14:paraId="24F1FEE6" w14:textId="77777777" w:rsidR="006A008E" w:rsidRDefault="006A00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3303A" w14:textId="77777777" w:rsidR="00C83C4D" w:rsidRDefault="00C83C4D" w:rsidP="007F38DC">
      <w:r>
        <w:separator/>
      </w:r>
    </w:p>
  </w:footnote>
  <w:footnote w:type="continuationSeparator" w:id="0">
    <w:p w14:paraId="4360C94A" w14:textId="77777777" w:rsidR="00C83C4D" w:rsidRDefault="00C83C4D" w:rsidP="007F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A5A"/>
    <w:multiLevelType w:val="hybridMultilevel"/>
    <w:tmpl w:val="C5B06906"/>
    <w:lvl w:ilvl="0" w:tplc="AA5073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944AF"/>
    <w:multiLevelType w:val="hybridMultilevel"/>
    <w:tmpl w:val="21B2EB3C"/>
    <w:lvl w:ilvl="0" w:tplc="63BE02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1A32"/>
    <w:multiLevelType w:val="hybridMultilevel"/>
    <w:tmpl w:val="7FBE0F0C"/>
    <w:lvl w:ilvl="0" w:tplc="B75CFA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496"/>
    <w:multiLevelType w:val="hybridMultilevel"/>
    <w:tmpl w:val="8A3A75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4171"/>
    <w:multiLevelType w:val="hybridMultilevel"/>
    <w:tmpl w:val="C584C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E3B"/>
    <w:multiLevelType w:val="hybridMultilevel"/>
    <w:tmpl w:val="8578CAE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306F1"/>
    <w:multiLevelType w:val="hybridMultilevel"/>
    <w:tmpl w:val="6E401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219F"/>
    <w:multiLevelType w:val="hybridMultilevel"/>
    <w:tmpl w:val="037C08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B3763"/>
    <w:multiLevelType w:val="hybridMultilevel"/>
    <w:tmpl w:val="080E6970"/>
    <w:lvl w:ilvl="0" w:tplc="6FEAC5D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003F3"/>
    <w:multiLevelType w:val="hybridMultilevel"/>
    <w:tmpl w:val="10668D1E"/>
    <w:lvl w:ilvl="0" w:tplc="F740FD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26F0"/>
    <w:multiLevelType w:val="hybridMultilevel"/>
    <w:tmpl w:val="94563166"/>
    <w:lvl w:ilvl="0" w:tplc="C59CA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700A"/>
    <w:multiLevelType w:val="hybridMultilevel"/>
    <w:tmpl w:val="65C21C48"/>
    <w:lvl w:ilvl="0" w:tplc="F7505E3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42643"/>
    <w:multiLevelType w:val="hybridMultilevel"/>
    <w:tmpl w:val="D0108216"/>
    <w:lvl w:ilvl="0" w:tplc="2682B8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15354"/>
    <w:multiLevelType w:val="hybridMultilevel"/>
    <w:tmpl w:val="0B24DB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F484A"/>
    <w:multiLevelType w:val="hybridMultilevel"/>
    <w:tmpl w:val="0D585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B18C9"/>
    <w:multiLevelType w:val="hybridMultilevel"/>
    <w:tmpl w:val="3C340802"/>
    <w:lvl w:ilvl="0" w:tplc="9336E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B67F4"/>
    <w:multiLevelType w:val="multilevel"/>
    <w:tmpl w:val="9962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5166B"/>
    <w:multiLevelType w:val="hybridMultilevel"/>
    <w:tmpl w:val="AFF858EA"/>
    <w:lvl w:ilvl="0" w:tplc="E2462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01465"/>
    <w:multiLevelType w:val="multilevel"/>
    <w:tmpl w:val="436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7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F5"/>
    <w:rsid w:val="00000730"/>
    <w:rsid w:val="00002CA2"/>
    <w:rsid w:val="00003AD3"/>
    <w:rsid w:val="0000645A"/>
    <w:rsid w:val="000128DD"/>
    <w:rsid w:val="00016F3B"/>
    <w:rsid w:val="0001759B"/>
    <w:rsid w:val="00022746"/>
    <w:rsid w:val="00024C4B"/>
    <w:rsid w:val="00026E9D"/>
    <w:rsid w:val="00032931"/>
    <w:rsid w:val="00035B9C"/>
    <w:rsid w:val="0004041F"/>
    <w:rsid w:val="00042074"/>
    <w:rsid w:val="00042668"/>
    <w:rsid w:val="000507E9"/>
    <w:rsid w:val="00056989"/>
    <w:rsid w:val="00061462"/>
    <w:rsid w:val="00071D57"/>
    <w:rsid w:val="000767A1"/>
    <w:rsid w:val="00080537"/>
    <w:rsid w:val="00084016"/>
    <w:rsid w:val="00085AA4"/>
    <w:rsid w:val="00086887"/>
    <w:rsid w:val="00086CF0"/>
    <w:rsid w:val="000906D6"/>
    <w:rsid w:val="00095234"/>
    <w:rsid w:val="00097CAC"/>
    <w:rsid w:val="00097F22"/>
    <w:rsid w:val="000A0356"/>
    <w:rsid w:val="000A3FC9"/>
    <w:rsid w:val="000A4F98"/>
    <w:rsid w:val="000B13F3"/>
    <w:rsid w:val="000B3111"/>
    <w:rsid w:val="000B3A2B"/>
    <w:rsid w:val="000B5FE9"/>
    <w:rsid w:val="000C0CEE"/>
    <w:rsid w:val="000C1265"/>
    <w:rsid w:val="000C32E0"/>
    <w:rsid w:val="000C4434"/>
    <w:rsid w:val="000C5143"/>
    <w:rsid w:val="000C7E60"/>
    <w:rsid w:val="000D76A9"/>
    <w:rsid w:val="000F2150"/>
    <w:rsid w:val="000F3241"/>
    <w:rsid w:val="00102AF8"/>
    <w:rsid w:val="0010453E"/>
    <w:rsid w:val="00105E12"/>
    <w:rsid w:val="00121462"/>
    <w:rsid w:val="00121A29"/>
    <w:rsid w:val="00121C2A"/>
    <w:rsid w:val="00124749"/>
    <w:rsid w:val="00127710"/>
    <w:rsid w:val="00132B62"/>
    <w:rsid w:val="001362C8"/>
    <w:rsid w:val="00141D37"/>
    <w:rsid w:val="00142460"/>
    <w:rsid w:val="00144038"/>
    <w:rsid w:val="001450FD"/>
    <w:rsid w:val="00150282"/>
    <w:rsid w:val="00150725"/>
    <w:rsid w:val="00151129"/>
    <w:rsid w:val="001521C0"/>
    <w:rsid w:val="00156B07"/>
    <w:rsid w:val="00161FB3"/>
    <w:rsid w:val="00165022"/>
    <w:rsid w:val="001733A0"/>
    <w:rsid w:val="00175D47"/>
    <w:rsid w:val="00177D91"/>
    <w:rsid w:val="00180D0F"/>
    <w:rsid w:val="001832B5"/>
    <w:rsid w:val="00184CF5"/>
    <w:rsid w:val="0018554B"/>
    <w:rsid w:val="0018566B"/>
    <w:rsid w:val="00187D6F"/>
    <w:rsid w:val="00190B8E"/>
    <w:rsid w:val="00193769"/>
    <w:rsid w:val="00195923"/>
    <w:rsid w:val="00197B34"/>
    <w:rsid w:val="001A2357"/>
    <w:rsid w:val="001A5CD1"/>
    <w:rsid w:val="001B1E53"/>
    <w:rsid w:val="001B24E9"/>
    <w:rsid w:val="001B6343"/>
    <w:rsid w:val="001B6931"/>
    <w:rsid w:val="001B7F72"/>
    <w:rsid w:val="001C414B"/>
    <w:rsid w:val="001C6FA1"/>
    <w:rsid w:val="001C7DC4"/>
    <w:rsid w:val="001D1C97"/>
    <w:rsid w:val="001D1D99"/>
    <w:rsid w:val="001D21F4"/>
    <w:rsid w:val="001D22B5"/>
    <w:rsid w:val="001D3021"/>
    <w:rsid w:val="001E05C3"/>
    <w:rsid w:val="001E05E0"/>
    <w:rsid w:val="001E315F"/>
    <w:rsid w:val="001E5EF4"/>
    <w:rsid w:val="001E77B5"/>
    <w:rsid w:val="001F7A40"/>
    <w:rsid w:val="002019BC"/>
    <w:rsid w:val="00210262"/>
    <w:rsid w:val="00216095"/>
    <w:rsid w:val="00220397"/>
    <w:rsid w:val="0022186F"/>
    <w:rsid w:val="00222B7E"/>
    <w:rsid w:val="002265F9"/>
    <w:rsid w:val="00234ED0"/>
    <w:rsid w:val="0023538F"/>
    <w:rsid w:val="0023649C"/>
    <w:rsid w:val="00237813"/>
    <w:rsid w:val="002409C3"/>
    <w:rsid w:val="00242628"/>
    <w:rsid w:val="0024293E"/>
    <w:rsid w:val="00245F4C"/>
    <w:rsid w:val="0024699D"/>
    <w:rsid w:val="0025483A"/>
    <w:rsid w:val="002553B1"/>
    <w:rsid w:val="002569D5"/>
    <w:rsid w:val="0026152D"/>
    <w:rsid w:val="0026517B"/>
    <w:rsid w:val="002731B2"/>
    <w:rsid w:val="002750DB"/>
    <w:rsid w:val="00277168"/>
    <w:rsid w:val="002779F1"/>
    <w:rsid w:val="00280FE7"/>
    <w:rsid w:val="00281C4E"/>
    <w:rsid w:val="00286088"/>
    <w:rsid w:val="00286B57"/>
    <w:rsid w:val="0029437F"/>
    <w:rsid w:val="002951E8"/>
    <w:rsid w:val="0029557A"/>
    <w:rsid w:val="002975EB"/>
    <w:rsid w:val="002A1572"/>
    <w:rsid w:val="002A2EC8"/>
    <w:rsid w:val="002A31D8"/>
    <w:rsid w:val="002A4890"/>
    <w:rsid w:val="002A4EC8"/>
    <w:rsid w:val="002A5EB3"/>
    <w:rsid w:val="002B23DC"/>
    <w:rsid w:val="002B7023"/>
    <w:rsid w:val="002B7156"/>
    <w:rsid w:val="002B792E"/>
    <w:rsid w:val="002C56DB"/>
    <w:rsid w:val="002D607C"/>
    <w:rsid w:val="002D67B4"/>
    <w:rsid w:val="002E0606"/>
    <w:rsid w:val="002F147F"/>
    <w:rsid w:val="002F389B"/>
    <w:rsid w:val="002F3FD2"/>
    <w:rsid w:val="002F6B99"/>
    <w:rsid w:val="003008EF"/>
    <w:rsid w:val="003008FE"/>
    <w:rsid w:val="00305059"/>
    <w:rsid w:val="00305B7E"/>
    <w:rsid w:val="00314F33"/>
    <w:rsid w:val="00314F55"/>
    <w:rsid w:val="00315DB5"/>
    <w:rsid w:val="00317846"/>
    <w:rsid w:val="00320449"/>
    <w:rsid w:val="00322C3F"/>
    <w:rsid w:val="003237C3"/>
    <w:rsid w:val="003268D9"/>
    <w:rsid w:val="0032702E"/>
    <w:rsid w:val="00331689"/>
    <w:rsid w:val="00331F16"/>
    <w:rsid w:val="00334192"/>
    <w:rsid w:val="00335CD4"/>
    <w:rsid w:val="0033754D"/>
    <w:rsid w:val="00337992"/>
    <w:rsid w:val="00342886"/>
    <w:rsid w:val="00343186"/>
    <w:rsid w:val="00343ACB"/>
    <w:rsid w:val="00345D6E"/>
    <w:rsid w:val="003539B1"/>
    <w:rsid w:val="003541B6"/>
    <w:rsid w:val="0035506A"/>
    <w:rsid w:val="0036074B"/>
    <w:rsid w:val="003623D2"/>
    <w:rsid w:val="00362674"/>
    <w:rsid w:val="0036289A"/>
    <w:rsid w:val="00370942"/>
    <w:rsid w:val="0037262E"/>
    <w:rsid w:val="003728A5"/>
    <w:rsid w:val="00376131"/>
    <w:rsid w:val="003772FF"/>
    <w:rsid w:val="003822B3"/>
    <w:rsid w:val="00382428"/>
    <w:rsid w:val="00382FED"/>
    <w:rsid w:val="0038485B"/>
    <w:rsid w:val="003849D1"/>
    <w:rsid w:val="00391DAD"/>
    <w:rsid w:val="003A0701"/>
    <w:rsid w:val="003A18C5"/>
    <w:rsid w:val="003A214A"/>
    <w:rsid w:val="003A5283"/>
    <w:rsid w:val="003A5D4E"/>
    <w:rsid w:val="003A7964"/>
    <w:rsid w:val="003B1EFC"/>
    <w:rsid w:val="003B3493"/>
    <w:rsid w:val="003B739E"/>
    <w:rsid w:val="003B7B9D"/>
    <w:rsid w:val="003C4E27"/>
    <w:rsid w:val="003C65B6"/>
    <w:rsid w:val="003C6914"/>
    <w:rsid w:val="003D0DEA"/>
    <w:rsid w:val="003D3767"/>
    <w:rsid w:val="003D5C15"/>
    <w:rsid w:val="003D6CA1"/>
    <w:rsid w:val="003D77F8"/>
    <w:rsid w:val="003E150F"/>
    <w:rsid w:val="003E5E99"/>
    <w:rsid w:val="003E686C"/>
    <w:rsid w:val="003E6D85"/>
    <w:rsid w:val="003F1FB2"/>
    <w:rsid w:val="003F2946"/>
    <w:rsid w:val="003F764B"/>
    <w:rsid w:val="0040081E"/>
    <w:rsid w:val="00401B72"/>
    <w:rsid w:val="004025FD"/>
    <w:rsid w:val="00405E97"/>
    <w:rsid w:val="00407437"/>
    <w:rsid w:val="00410CA4"/>
    <w:rsid w:val="00410FB7"/>
    <w:rsid w:val="00420D7B"/>
    <w:rsid w:val="00424451"/>
    <w:rsid w:val="004259DC"/>
    <w:rsid w:val="004313A7"/>
    <w:rsid w:val="004328EB"/>
    <w:rsid w:val="0043303A"/>
    <w:rsid w:val="0044428D"/>
    <w:rsid w:val="0045163F"/>
    <w:rsid w:val="00453A61"/>
    <w:rsid w:val="00454EF3"/>
    <w:rsid w:val="00456208"/>
    <w:rsid w:val="00457620"/>
    <w:rsid w:val="00464EE8"/>
    <w:rsid w:val="004675C1"/>
    <w:rsid w:val="0047241A"/>
    <w:rsid w:val="004734A1"/>
    <w:rsid w:val="004779E8"/>
    <w:rsid w:val="00481B64"/>
    <w:rsid w:val="00483D42"/>
    <w:rsid w:val="00487D3E"/>
    <w:rsid w:val="0049031D"/>
    <w:rsid w:val="004A2DF4"/>
    <w:rsid w:val="004A332E"/>
    <w:rsid w:val="004A3F81"/>
    <w:rsid w:val="004A6174"/>
    <w:rsid w:val="004A7607"/>
    <w:rsid w:val="004B0E3C"/>
    <w:rsid w:val="004B0FB3"/>
    <w:rsid w:val="004B53A6"/>
    <w:rsid w:val="004B5DF8"/>
    <w:rsid w:val="004B7964"/>
    <w:rsid w:val="004C0388"/>
    <w:rsid w:val="004C2BBD"/>
    <w:rsid w:val="004C3CAC"/>
    <w:rsid w:val="004D355B"/>
    <w:rsid w:val="004E25A4"/>
    <w:rsid w:val="004E67F4"/>
    <w:rsid w:val="004F5ABB"/>
    <w:rsid w:val="0050245B"/>
    <w:rsid w:val="00513224"/>
    <w:rsid w:val="00513EE7"/>
    <w:rsid w:val="00520184"/>
    <w:rsid w:val="005256E1"/>
    <w:rsid w:val="00525B82"/>
    <w:rsid w:val="005306C2"/>
    <w:rsid w:val="00531669"/>
    <w:rsid w:val="0053252F"/>
    <w:rsid w:val="00533EB4"/>
    <w:rsid w:val="0054642A"/>
    <w:rsid w:val="0055699E"/>
    <w:rsid w:val="005614A3"/>
    <w:rsid w:val="00561AC9"/>
    <w:rsid w:val="005639DA"/>
    <w:rsid w:val="00574592"/>
    <w:rsid w:val="00574ECE"/>
    <w:rsid w:val="0057659E"/>
    <w:rsid w:val="0057772F"/>
    <w:rsid w:val="005825B9"/>
    <w:rsid w:val="0058360F"/>
    <w:rsid w:val="005841FA"/>
    <w:rsid w:val="005859A3"/>
    <w:rsid w:val="005968EB"/>
    <w:rsid w:val="005A0965"/>
    <w:rsid w:val="005A2821"/>
    <w:rsid w:val="005A2BAC"/>
    <w:rsid w:val="005A33F6"/>
    <w:rsid w:val="005A3FCE"/>
    <w:rsid w:val="005A6A74"/>
    <w:rsid w:val="005A73B7"/>
    <w:rsid w:val="005B1F4A"/>
    <w:rsid w:val="005B618D"/>
    <w:rsid w:val="005B6B31"/>
    <w:rsid w:val="005C15EB"/>
    <w:rsid w:val="005C2B64"/>
    <w:rsid w:val="005C41CB"/>
    <w:rsid w:val="005C76E6"/>
    <w:rsid w:val="005D62E9"/>
    <w:rsid w:val="005E2E0F"/>
    <w:rsid w:val="005F1F0C"/>
    <w:rsid w:val="005F3B64"/>
    <w:rsid w:val="005F4087"/>
    <w:rsid w:val="005F5529"/>
    <w:rsid w:val="005F69BD"/>
    <w:rsid w:val="00601C4C"/>
    <w:rsid w:val="006029D2"/>
    <w:rsid w:val="0060443C"/>
    <w:rsid w:val="006061DA"/>
    <w:rsid w:val="006141D7"/>
    <w:rsid w:val="00616F17"/>
    <w:rsid w:val="00617AB5"/>
    <w:rsid w:val="00620BEF"/>
    <w:rsid w:val="006218CF"/>
    <w:rsid w:val="00623708"/>
    <w:rsid w:val="00624FF5"/>
    <w:rsid w:val="00633438"/>
    <w:rsid w:val="006343C2"/>
    <w:rsid w:val="006363DF"/>
    <w:rsid w:val="00636533"/>
    <w:rsid w:val="00640419"/>
    <w:rsid w:val="00641FAC"/>
    <w:rsid w:val="00642D65"/>
    <w:rsid w:val="00647E0F"/>
    <w:rsid w:val="0065147C"/>
    <w:rsid w:val="0065227F"/>
    <w:rsid w:val="0065245C"/>
    <w:rsid w:val="00652960"/>
    <w:rsid w:val="00652F72"/>
    <w:rsid w:val="00653691"/>
    <w:rsid w:val="0065520C"/>
    <w:rsid w:val="00656456"/>
    <w:rsid w:val="00663633"/>
    <w:rsid w:val="00667641"/>
    <w:rsid w:val="00667DB6"/>
    <w:rsid w:val="00670510"/>
    <w:rsid w:val="006724C7"/>
    <w:rsid w:val="00675DAB"/>
    <w:rsid w:val="00676FC3"/>
    <w:rsid w:val="00684FAB"/>
    <w:rsid w:val="006910DA"/>
    <w:rsid w:val="00693C19"/>
    <w:rsid w:val="00693ECA"/>
    <w:rsid w:val="006A008E"/>
    <w:rsid w:val="006A1F66"/>
    <w:rsid w:val="006A2219"/>
    <w:rsid w:val="006A39F7"/>
    <w:rsid w:val="006A4BAD"/>
    <w:rsid w:val="006A4DB3"/>
    <w:rsid w:val="006A6E93"/>
    <w:rsid w:val="006B1725"/>
    <w:rsid w:val="006B3785"/>
    <w:rsid w:val="006C49D7"/>
    <w:rsid w:val="006C59E9"/>
    <w:rsid w:val="006C6272"/>
    <w:rsid w:val="006C65BB"/>
    <w:rsid w:val="006D0627"/>
    <w:rsid w:val="006D50ED"/>
    <w:rsid w:val="006E091A"/>
    <w:rsid w:val="006E1715"/>
    <w:rsid w:val="006E187C"/>
    <w:rsid w:val="006E33F5"/>
    <w:rsid w:val="006E3CFF"/>
    <w:rsid w:val="006E5098"/>
    <w:rsid w:val="006E6703"/>
    <w:rsid w:val="006F1FE7"/>
    <w:rsid w:val="006F34B9"/>
    <w:rsid w:val="006F3E8C"/>
    <w:rsid w:val="006F5195"/>
    <w:rsid w:val="006F5649"/>
    <w:rsid w:val="006F7100"/>
    <w:rsid w:val="00701B8D"/>
    <w:rsid w:val="00702835"/>
    <w:rsid w:val="00703C27"/>
    <w:rsid w:val="0070423C"/>
    <w:rsid w:val="00704659"/>
    <w:rsid w:val="00705A78"/>
    <w:rsid w:val="00706D23"/>
    <w:rsid w:val="0070777D"/>
    <w:rsid w:val="00707A4B"/>
    <w:rsid w:val="00717D50"/>
    <w:rsid w:val="007235B4"/>
    <w:rsid w:val="00725402"/>
    <w:rsid w:val="00725E58"/>
    <w:rsid w:val="00726595"/>
    <w:rsid w:val="00726854"/>
    <w:rsid w:val="007321AA"/>
    <w:rsid w:val="007330AF"/>
    <w:rsid w:val="00737B78"/>
    <w:rsid w:val="00737FED"/>
    <w:rsid w:val="00743CEA"/>
    <w:rsid w:val="00744193"/>
    <w:rsid w:val="00745EC0"/>
    <w:rsid w:val="00746E9C"/>
    <w:rsid w:val="00750966"/>
    <w:rsid w:val="00763305"/>
    <w:rsid w:val="0076357A"/>
    <w:rsid w:val="00764C01"/>
    <w:rsid w:val="00764E1E"/>
    <w:rsid w:val="00771ED5"/>
    <w:rsid w:val="00774054"/>
    <w:rsid w:val="00777D64"/>
    <w:rsid w:val="00777F61"/>
    <w:rsid w:val="00780D1E"/>
    <w:rsid w:val="00790A0B"/>
    <w:rsid w:val="00791600"/>
    <w:rsid w:val="00792175"/>
    <w:rsid w:val="00792DBE"/>
    <w:rsid w:val="00795BD4"/>
    <w:rsid w:val="007A0C45"/>
    <w:rsid w:val="007A6061"/>
    <w:rsid w:val="007A77B0"/>
    <w:rsid w:val="007A791E"/>
    <w:rsid w:val="007B1140"/>
    <w:rsid w:val="007B4EA4"/>
    <w:rsid w:val="007B7694"/>
    <w:rsid w:val="007C3C9C"/>
    <w:rsid w:val="007C4FDE"/>
    <w:rsid w:val="007D03BB"/>
    <w:rsid w:val="007D43CE"/>
    <w:rsid w:val="007D600D"/>
    <w:rsid w:val="007E5CD6"/>
    <w:rsid w:val="007E6460"/>
    <w:rsid w:val="007F1F37"/>
    <w:rsid w:val="007F2A53"/>
    <w:rsid w:val="007F38DC"/>
    <w:rsid w:val="007F6755"/>
    <w:rsid w:val="00800499"/>
    <w:rsid w:val="0080441F"/>
    <w:rsid w:val="008053AE"/>
    <w:rsid w:val="0080559B"/>
    <w:rsid w:val="00810301"/>
    <w:rsid w:val="00811FC0"/>
    <w:rsid w:val="00813EE7"/>
    <w:rsid w:val="00816528"/>
    <w:rsid w:val="00824158"/>
    <w:rsid w:val="00825061"/>
    <w:rsid w:val="00825DFC"/>
    <w:rsid w:val="00826364"/>
    <w:rsid w:val="0083123B"/>
    <w:rsid w:val="008354E0"/>
    <w:rsid w:val="00835A61"/>
    <w:rsid w:val="008435AD"/>
    <w:rsid w:val="00851578"/>
    <w:rsid w:val="00854367"/>
    <w:rsid w:val="00854B4D"/>
    <w:rsid w:val="00855575"/>
    <w:rsid w:val="00856EA3"/>
    <w:rsid w:val="00862283"/>
    <w:rsid w:val="008666B6"/>
    <w:rsid w:val="00871786"/>
    <w:rsid w:val="00872417"/>
    <w:rsid w:val="00882724"/>
    <w:rsid w:val="00885696"/>
    <w:rsid w:val="00885F7E"/>
    <w:rsid w:val="00886320"/>
    <w:rsid w:val="00890DCA"/>
    <w:rsid w:val="00892981"/>
    <w:rsid w:val="00892E82"/>
    <w:rsid w:val="00893EF5"/>
    <w:rsid w:val="00894D26"/>
    <w:rsid w:val="00897EEB"/>
    <w:rsid w:val="008A02E6"/>
    <w:rsid w:val="008A126A"/>
    <w:rsid w:val="008A1385"/>
    <w:rsid w:val="008A3672"/>
    <w:rsid w:val="008A3A9A"/>
    <w:rsid w:val="008A3FA0"/>
    <w:rsid w:val="008A5147"/>
    <w:rsid w:val="008A6665"/>
    <w:rsid w:val="008A78A3"/>
    <w:rsid w:val="008B17BE"/>
    <w:rsid w:val="008B7DD4"/>
    <w:rsid w:val="008C015E"/>
    <w:rsid w:val="008C63A9"/>
    <w:rsid w:val="008D2B59"/>
    <w:rsid w:val="008D5233"/>
    <w:rsid w:val="008D6DDE"/>
    <w:rsid w:val="008E1F36"/>
    <w:rsid w:val="008E3BFD"/>
    <w:rsid w:val="008E6987"/>
    <w:rsid w:val="008F10B3"/>
    <w:rsid w:val="008F4E42"/>
    <w:rsid w:val="0090075E"/>
    <w:rsid w:val="0090135B"/>
    <w:rsid w:val="00901F98"/>
    <w:rsid w:val="009022D3"/>
    <w:rsid w:val="009033F5"/>
    <w:rsid w:val="00903800"/>
    <w:rsid w:val="009047C4"/>
    <w:rsid w:val="00913BA9"/>
    <w:rsid w:val="00921700"/>
    <w:rsid w:val="00922E56"/>
    <w:rsid w:val="009267D2"/>
    <w:rsid w:val="009308D7"/>
    <w:rsid w:val="009337D0"/>
    <w:rsid w:val="009362B0"/>
    <w:rsid w:val="00940B0B"/>
    <w:rsid w:val="00941AFE"/>
    <w:rsid w:val="009436C1"/>
    <w:rsid w:val="009526B8"/>
    <w:rsid w:val="0096359B"/>
    <w:rsid w:val="009639BA"/>
    <w:rsid w:val="00963E51"/>
    <w:rsid w:val="00965D29"/>
    <w:rsid w:val="00965D86"/>
    <w:rsid w:val="00966494"/>
    <w:rsid w:val="009670C0"/>
    <w:rsid w:val="00972F8E"/>
    <w:rsid w:val="0097499A"/>
    <w:rsid w:val="00977B2B"/>
    <w:rsid w:val="00982D89"/>
    <w:rsid w:val="0098349D"/>
    <w:rsid w:val="009836BC"/>
    <w:rsid w:val="0098647B"/>
    <w:rsid w:val="009929F4"/>
    <w:rsid w:val="00994179"/>
    <w:rsid w:val="009A0479"/>
    <w:rsid w:val="009A53B3"/>
    <w:rsid w:val="009A55FA"/>
    <w:rsid w:val="009B1DA3"/>
    <w:rsid w:val="009B33B1"/>
    <w:rsid w:val="009B749A"/>
    <w:rsid w:val="009C000B"/>
    <w:rsid w:val="009C1551"/>
    <w:rsid w:val="009C3C2D"/>
    <w:rsid w:val="009D0298"/>
    <w:rsid w:val="009D033B"/>
    <w:rsid w:val="009D4651"/>
    <w:rsid w:val="009D4725"/>
    <w:rsid w:val="009D479B"/>
    <w:rsid w:val="009D496A"/>
    <w:rsid w:val="009E07A2"/>
    <w:rsid w:val="009E1993"/>
    <w:rsid w:val="009E3782"/>
    <w:rsid w:val="009E7132"/>
    <w:rsid w:val="009F1544"/>
    <w:rsid w:val="009F3351"/>
    <w:rsid w:val="009F54A4"/>
    <w:rsid w:val="00A02726"/>
    <w:rsid w:val="00A02818"/>
    <w:rsid w:val="00A05A52"/>
    <w:rsid w:val="00A07F45"/>
    <w:rsid w:val="00A124F5"/>
    <w:rsid w:val="00A23113"/>
    <w:rsid w:val="00A23861"/>
    <w:rsid w:val="00A2740A"/>
    <w:rsid w:val="00A274B5"/>
    <w:rsid w:val="00A33FAA"/>
    <w:rsid w:val="00A42A4E"/>
    <w:rsid w:val="00A44557"/>
    <w:rsid w:val="00A4646E"/>
    <w:rsid w:val="00A469A2"/>
    <w:rsid w:val="00A55561"/>
    <w:rsid w:val="00A579E1"/>
    <w:rsid w:val="00A57CA0"/>
    <w:rsid w:val="00A614F8"/>
    <w:rsid w:val="00A62ADE"/>
    <w:rsid w:val="00A639B6"/>
    <w:rsid w:val="00A72529"/>
    <w:rsid w:val="00A73AC7"/>
    <w:rsid w:val="00A74042"/>
    <w:rsid w:val="00A74C3A"/>
    <w:rsid w:val="00A771DA"/>
    <w:rsid w:val="00A7793D"/>
    <w:rsid w:val="00A779C6"/>
    <w:rsid w:val="00A81880"/>
    <w:rsid w:val="00A8315E"/>
    <w:rsid w:val="00A84200"/>
    <w:rsid w:val="00A84E51"/>
    <w:rsid w:val="00A86228"/>
    <w:rsid w:val="00A910AA"/>
    <w:rsid w:val="00A91291"/>
    <w:rsid w:val="00A92344"/>
    <w:rsid w:val="00A926F6"/>
    <w:rsid w:val="00A942B2"/>
    <w:rsid w:val="00A95FFE"/>
    <w:rsid w:val="00AA06A4"/>
    <w:rsid w:val="00AA64C2"/>
    <w:rsid w:val="00AA7098"/>
    <w:rsid w:val="00AA7D2F"/>
    <w:rsid w:val="00AB4D50"/>
    <w:rsid w:val="00AC28F1"/>
    <w:rsid w:val="00AC5DD7"/>
    <w:rsid w:val="00AD17EA"/>
    <w:rsid w:val="00AD3CE9"/>
    <w:rsid w:val="00AD46A3"/>
    <w:rsid w:val="00AD492E"/>
    <w:rsid w:val="00AD6ACB"/>
    <w:rsid w:val="00AD7EE5"/>
    <w:rsid w:val="00AE5492"/>
    <w:rsid w:val="00AE5B49"/>
    <w:rsid w:val="00AF18B6"/>
    <w:rsid w:val="00AF1DE2"/>
    <w:rsid w:val="00AF451D"/>
    <w:rsid w:val="00B02138"/>
    <w:rsid w:val="00B13A56"/>
    <w:rsid w:val="00B14024"/>
    <w:rsid w:val="00B20144"/>
    <w:rsid w:val="00B2187F"/>
    <w:rsid w:val="00B2215E"/>
    <w:rsid w:val="00B23D29"/>
    <w:rsid w:val="00B26BC7"/>
    <w:rsid w:val="00B26F38"/>
    <w:rsid w:val="00B271D7"/>
    <w:rsid w:val="00B30C1D"/>
    <w:rsid w:val="00B31100"/>
    <w:rsid w:val="00B32F1F"/>
    <w:rsid w:val="00B34B15"/>
    <w:rsid w:val="00B34BCE"/>
    <w:rsid w:val="00B35836"/>
    <w:rsid w:val="00B35C52"/>
    <w:rsid w:val="00B40DB8"/>
    <w:rsid w:val="00B41FDA"/>
    <w:rsid w:val="00B44978"/>
    <w:rsid w:val="00B44D5C"/>
    <w:rsid w:val="00B47356"/>
    <w:rsid w:val="00B514B3"/>
    <w:rsid w:val="00B54F51"/>
    <w:rsid w:val="00B56B22"/>
    <w:rsid w:val="00B61CE8"/>
    <w:rsid w:val="00B67805"/>
    <w:rsid w:val="00B6789E"/>
    <w:rsid w:val="00B76993"/>
    <w:rsid w:val="00B802CF"/>
    <w:rsid w:val="00B87BF3"/>
    <w:rsid w:val="00B903BB"/>
    <w:rsid w:val="00B91518"/>
    <w:rsid w:val="00B91920"/>
    <w:rsid w:val="00B92CBB"/>
    <w:rsid w:val="00B941C8"/>
    <w:rsid w:val="00B96ECE"/>
    <w:rsid w:val="00BA171D"/>
    <w:rsid w:val="00BA2D14"/>
    <w:rsid w:val="00BB0115"/>
    <w:rsid w:val="00BB1D95"/>
    <w:rsid w:val="00BB270C"/>
    <w:rsid w:val="00BB6A0B"/>
    <w:rsid w:val="00BB6D3C"/>
    <w:rsid w:val="00BB7748"/>
    <w:rsid w:val="00BC5767"/>
    <w:rsid w:val="00BD16E1"/>
    <w:rsid w:val="00BD25AD"/>
    <w:rsid w:val="00BD4B67"/>
    <w:rsid w:val="00BD5649"/>
    <w:rsid w:val="00BD5CDC"/>
    <w:rsid w:val="00BE40EA"/>
    <w:rsid w:val="00BE483D"/>
    <w:rsid w:val="00BE4C0C"/>
    <w:rsid w:val="00BF1EDD"/>
    <w:rsid w:val="00BF43C5"/>
    <w:rsid w:val="00C00B13"/>
    <w:rsid w:val="00C068DA"/>
    <w:rsid w:val="00C06BBD"/>
    <w:rsid w:val="00C075B8"/>
    <w:rsid w:val="00C07FC2"/>
    <w:rsid w:val="00C101A1"/>
    <w:rsid w:val="00C1090E"/>
    <w:rsid w:val="00C118F7"/>
    <w:rsid w:val="00C14035"/>
    <w:rsid w:val="00C14519"/>
    <w:rsid w:val="00C146AB"/>
    <w:rsid w:val="00C15251"/>
    <w:rsid w:val="00C208AE"/>
    <w:rsid w:val="00C218E6"/>
    <w:rsid w:val="00C21A44"/>
    <w:rsid w:val="00C2295B"/>
    <w:rsid w:val="00C247B9"/>
    <w:rsid w:val="00C259DF"/>
    <w:rsid w:val="00C26FA8"/>
    <w:rsid w:val="00C27B8F"/>
    <w:rsid w:val="00C31525"/>
    <w:rsid w:val="00C41826"/>
    <w:rsid w:val="00C4706D"/>
    <w:rsid w:val="00C47F8F"/>
    <w:rsid w:val="00C52016"/>
    <w:rsid w:val="00C53722"/>
    <w:rsid w:val="00C57CA2"/>
    <w:rsid w:val="00C65609"/>
    <w:rsid w:val="00C656FF"/>
    <w:rsid w:val="00C83C4D"/>
    <w:rsid w:val="00C864BA"/>
    <w:rsid w:val="00C86E85"/>
    <w:rsid w:val="00C95455"/>
    <w:rsid w:val="00CA471E"/>
    <w:rsid w:val="00CA68D5"/>
    <w:rsid w:val="00CA71FA"/>
    <w:rsid w:val="00CB355E"/>
    <w:rsid w:val="00CB3EED"/>
    <w:rsid w:val="00CC1594"/>
    <w:rsid w:val="00CD26B7"/>
    <w:rsid w:val="00CD3E6C"/>
    <w:rsid w:val="00CD6708"/>
    <w:rsid w:val="00CD6B37"/>
    <w:rsid w:val="00CE7744"/>
    <w:rsid w:val="00CF1E96"/>
    <w:rsid w:val="00D00FFB"/>
    <w:rsid w:val="00D04839"/>
    <w:rsid w:val="00D0796C"/>
    <w:rsid w:val="00D1112D"/>
    <w:rsid w:val="00D12416"/>
    <w:rsid w:val="00D14DF9"/>
    <w:rsid w:val="00D14EED"/>
    <w:rsid w:val="00D17128"/>
    <w:rsid w:val="00D25CBB"/>
    <w:rsid w:val="00D31281"/>
    <w:rsid w:val="00D3153C"/>
    <w:rsid w:val="00D329B2"/>
    <w:rsid w:val="00D36B06"/>
    <w:rsid w:val="00D416C2"/>
    <w:rsid w:val="00D503EB"/>
    <w:rsid w:val="00D50535"/>
    <w:rsid w:val="00D62205"/>
    <w:rsid w:val="00D6346F"/>
    <w:rsid w:val="00D635A5"/>
    <w:rsid w:val="00D66DCE"/>
    <w:rsid w:val="00D71C1E"/>
    <w:rsid w:val="00D741DD"/>
    <w:rsid w:val="00D742EE"/>
    <w:rsid w:val="00D74B1A"/>
    <w:rsid w:val="00D750C0"/>
    <w:rsid w:val="00D759D5"/>
    <w:rsid w:val="00D82BCD"/>
    <w:rsid w:val="00D8300F"/>
    <w:rsid w:val="00D860F9"/>
    <w:rsid w:val="00D87B5E"/>
    <w:rsid w:val="00D91A3F"/>
    <w:rsid w:val="00D979B2"/>
    <w:rsid w:val="00DA4D6B"/>
    <w:rsid w:val="00DB0526"/>
    <w:rsid w:val="00DB31A5"/>
    <w:rsid w:val="00DC2279"/>
    <w:rsid w:val="00DC51F4"/>
    <w:rsid w:val="00DC6722"/>
    <w:rsid w:val="00DC6E92"/>
    <w:rsid w:val="00DC7DA7"/>
    <w:rsid w:val="00DD27C0"/>
    <w:rsid w:val="00DD576C"/>
    <w:rsid w:val="00DF0B0A"/>
    <w:rsid w:val="00DF4284"/>
    <w:rsid w:val="00DF58DF"/>
    <w:rsid w:val="00DF6144"/>
    <w:rsid w:val="00E011E9"/>
    <w:rsid w:val="00E0490C"/>
    <w:rsid w:val="00E04FBB"/>
    <w:rsid w:val="00E05AFE"/>
    <w:rsid w:val="00E0756E"/>
    <w:rsid w:val="00E0794D"/>
    <w:rsid w:val="00E10D74"/>
    <w:rsid w:val="00E125F1"/>
    <w:rsid w:val="00E150CE"/>
    <w:rsid w:val="00E2203E"/>
    <w:rsid w:val="00E24246"/>
    <w:rsid w:val="00E25DE9"/>
    <w:rsid w:val="00E34552"/>
    <w:rsid w:val="00E44285"/>
    <w:rsid w:val="00E44E60"/>
    <w:rsid w:val="00E455E8"/>
    <w:rsid w:val="00E50906"/>
    <w:rsid w:val="00E51107"/>
    <w:rsid w:val="00E5159D"/>
    <w:rsid w:val="00E52AD3"/>
    <w:rsid w:val="00E533C1"/>
    <w:rsid w:val="00E54A40"/>
    <w:rsid w:val="00E55FD6"/>
    <w:rsid w:val="00E6107B"/>
    <w:rsid w:val="00E61684"/>
    <w:rsid w:val="00E6452E"/>
    <w:rsid w:val="00E6497D"/>
    <w:rsid w:val="00E6619B"/>
    <w:rsid w:val="00E6634B"/>
    <w:rsid w:val="00E73830"/>
    <w:rsid w:val="00E743E6"/>
    <w:rsid w:val="00E80B22"/>
    <w:rsid w:val="00E85161"/>
    <w:rsid w:val="00E90FA3"/>
    <w:rsid w:val="00E95034"/>
    <w:rsid w:val="00E954A8"/>
    <w:rsid w:val="00EA0C8E"/>
    <w:rsid w:val="00EA1215"/>
    <w:rsid w:val="00EA6DAD"/>
    <w:rsid w:val="00EB1ECE"/>
    <w:rsid w:val="00EB434F"/>
    <w:rsid w:val="00EC110B"/>
    <w:rsid w:val="00ED0C60"/>
    <w:rsid w:val="00ED24EB"/>
    <w:rsid w:val="00ED74B8"/>
    <w:rsid w:val="00ED7F40"/>
    <w:rsid w:val="00EE0062"/>
    <w:rsid w:val="00EE179B"/>
    <w:rsid w:val="00EF5B20"/>
    <w:rsid w:val="00F00C47"/>
    <w:rsid w:val="00F00C4B"/>
    <w:rsid w:val="00F00FC9"/>
    <w:rsid w:val="00F02206"/>
    <w:rsid w:val="00F05735"/>
    <w:rsid w:val="00F111A7"/>
    <w:rsid w:val="00F168D2"/>
    <w:rsid w:val="00F177D6"/>
    <w:rsid w:val="00F2427A"/>
    <w:rsid w:val="00F24F45"/>
    <w:rsid w:val="00F25013"/>
    <w:rsid w:val="00F260B9"/>
    <w:rsid w:val="00F26423"/>
    <w:rsid w:val="00F34032"/>
    <w:rsid w:val="00F340CE"/>
    <w:rsid w:val="00F40691"/>
    <w:rsid w:val="00F41A31"/>
    <w:rsid w:val="00F4237A"/>
    <w:rsid w:val="00F43098"/>
    <w:rsid w:val="00F43E5E"/>
    <w:rsid w:val="00F57453"/>
    <w:rsid w:val="00F64A88"/>
    <w:rsid w:val="00F734F3"/>
    <w:rsid w:val="00F80274"/>
    <w:rsid w:val="00F832AA"/>
    <w:rsid w:val="00F872AB"/>
    <w:rsid w:val="00F91FB4"/>
    <w:rsid w:val="00F927C1"/>
    <w:rsid w:val="00F97FD8"/>
    <w:rsid w:val="00FA34B8"/>
    <w:rsid w:val="00FA3CEB"/>
    <w:rsid w:val="00FA4C20"/>
    <w:rsid w:val="00FA56F5"/>
    <w:rsid w:val="00FB2340"/>
    <w:rsid w:val="00FB2E72"/>
    <w:rsid w:val="00FB3114"/>
    <w:rsid w:val="00FB654D"/>
    <w:rsid w:val="00FC019D"/>
    <w:rsid w:val="00FC032C"/>
    <w:rsid w:val="00FC049B"/>
    <w:rsid w:val="00FC43E1"/>
    <w:rsid w:val="00FC7BAC"/>
    <w:rsid w:val="00FD1FDA"/>
    <w:rsid w:val="00FD4100"/>
    <w:rsid w:val="00FE3224"/>
    <w:rsid w:val="00FE340B"/>
    <w:rsid w:val="00FE6FA8"/>
    <w:rsid w:val="00FF02A0"/>
    <w:rsid w:val="00FF38A2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0E9A"/>
  <w15:chartTrackingRefBased/>
  <w15:docId w15:val="{E30EB9F1-FCC2-4F16-B12F-D697334E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A5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0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4F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3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38DC"/>
  </w:style>
  <w:style w:type="paragraph" w:styleId="AltBilgi">
    <w:name w:val="footer"/>
    <w:basedOn w:val="Normal"/>
    <w:link w:val="AltBilgiChar"/>
    <w:uiPriority w:val="99"/>
    <w:unhideWhenUsed/>
    <w:rsid w:val="007F3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38DC"/>
  </w:style>
  <w:style w:type="character" w:styleId="Gl">
    <w:name w:val="Strong"/>
    <w:basedOn w:val="VarsaylanParagrafYazTipi"/>
    <w:uiPriority w:val="22"/>
    <w:qFormat/>
    <w:rsid w:val="00963E51"/>
    <w:rPr>
      <w:b/>
      <w:bCs/>
    </w:rPr>
  </w:style>
  <w:style w:type="paragraph" w:customStyle="1" w:styleId="CharCharCharCharCharCharCharChar">
    <w:name w:val="Char Char Char Char Char Char Char Char"/>
    <w:basedOn w:val="Normal"/>
    <w:rsid w:val="00533EB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Dzeltme">
    <w:name w:val="Revision"/>
    <w:hidden/>
    <w:uiPriority w:val="99"/>
    <w:semiHidden/>
    <w:rsid w:val="00ED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553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53B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53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53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53B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CharCharCharCharCharCharCharChar0">
    <w:name w:val="Char Char Char Char Char Char Char Char"/>
    <w:basedOn w:val="Normal"/>
    <w:rsid w:val="008B17BE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or">
    <w:name w:val="Nor."/>
    <w:basedOn w:val="Normal"/>
    <w:next w:val="Normal"/>
    <w:rsid w:val="008B17BE"/>
    <w:pPr>
      <w:tabs>
        <w:tab w:val="left" w:pos="567"/>
      </w:tabs>
      <w:spacing w:line="200" w:lineRule="exact"/>
      <w:jc w:val="both"/>
    </w:pPr>
    <w:rPr>
      <w:rFonts w:ascii="New York" w:hAnsi="New York"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EA0C8E"/>
  </w:style>
  <w:style w:type="paragraph" w:styleId="BalonMetni">
    <w:name w:val="Balloon Text"/>
    <w:basedOn w:val="Normal"/>
    <w:link w:val="BalonMetniChar"/>
    <w:uiPriority w:val="99"/>
    <w:semiHidden/>
    <w:unhideWhenUsed/>
    <w:rsid w:val="00EB1E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EC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D2CA-6A1F-4416-B9CC-AE76951B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Kırkbeşoğlu</dc:creator>
  <cp:keywords/>
  <dc:description/>
  <cp:lastModifiedBy>Erdem Kırkbeşoğlu</cp:lastModifiedBy>
  <cp:revision>35</cp:revision>
  <cp:lastPrinted>2020-12-28T17:28:00Z</cp:lastPrinted>
  <dcterms:created xsi:type="dcterms:W3CDTF">2022-11-11T04:54:00Z</dcterms:created>
  <dcterms:modified xsi:type="dcterms:W3CDTF">2023-03-01T07:50:00Z</dcterms:modified>
</cp:coreProperties>
</file>